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299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13. jūnijā (prot. Nr. 32 17.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17. jūlija noteikumos Nr. 429 "Noteikumi par transportlīdzekļu sastāvdaļām un materiāliem, kuri drīkst saturēt svinu, dzīvsudrabu, kadmiju vai sešvērtīgā hroma savienojumus"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Nolietotu transportlīdzekļu</w:t>
      </w:r>
      <w:r>
        <w:br/>
      </w:r>
      <w:r w:rsidR="00000000" w:rsidRPr="00000000" w:rsidDel="00000000">
        <w:rPr>
          <w:rStyle w:val="paragraph"/>
          <w:i w:val="1"/>
          <w:rtl w:val="0"/>
        </w:rPr>
        <w:t xml:space="preserve">apsaimniekošanas likuma</w:t>
      </w:r>
      <w:r w:rsidR="00000000" w:rsidRPr="00000000" w:rsidDel="00000000">
        <w:rPr>
          <w:rStyle w:val="paragraph"/>
          <w:i w:val="1"/>
          <w:rtl w:val="0"/>
        </w:rPr>
        <w:t xml:space="preserve"> 5.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17. jūlija noteikumos Nr. 429 "Noteikumi par transportlīdzekļu sastāvdaļām un materiāliem, kuri drīkst saturēt svinu, dzīvsudrabu, kadmiju vai sešvērtīgā hroma savienojumus" (Latvijas Vēstnesis, 2018, 142. nr.; 2020, 87.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informatīvo atsauci uz Eiropas Savienības direktīvām ar 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Eiropas Komisijas 2022. gada 16. decembra Deleģētās direktīvas 2023/544/ES, ar ko Eiropas Parlamenta un Padomes Direktīvu 2000/53/EK groza attiecībā uz atbrīvojumiem svina izmantošanai alumīnija sakausējumos mehāniskai apstrādei, vara sakausējumos un dažās akumulatoru baterijās."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Sprindžuks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23-TA-158</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23-TA-158</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noteikumu_(grozījumu)_projekts_23-TA-158.docx</dc:title>
</cp:coreProperties>
</file>

<file path=docProps/custom.xml><?xml version="1.0" encoding="utf-8"?>
<Properties xmlns="http://schemas.openxmlformats.org/officeDocument/2006/custom-properties" xmlns:vt="http://schemas.openxmlformats.org/officeDocument/2006/docPropsVTypes"/>
</file>