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17.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429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Transportlīdzekļu sastāvdaļas un materiāli, kuri drīkst saturēt svinu, dzīvsudrabu, kadmiju vai sešvērtīgā hroma savienojumus</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3293"/>
        <w:gridCol w:w="3293"/>
        <w:gridCol w:w="1856"/>
        <w:tblGridChange w:id="0">
          <w:tblGrid>
            <w:gridCol w:w="898"/>
            <w:gridCol w:w="3293"/>
            <w:gridCol w:w="3293"/>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Sastāvdaļas un materiāli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Izņēmuma gadījumi un piemērošanas termiņš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Sastāvdaļas un materiāli, kurus nepieciešams marķēt vai citādi identificēt</w:t>
            </w:r>
            <w:r>
              <w:tab/>
            </w:r>
            <w:r>
              <w:br/>
            </w:r>
            <w:r w:rsidR="00000000" w:rsidRPr="00000000" w:rsidDel="00000000">
              <w:rPr>
                <w:rtl w:val="0"/>
              </w:rPr>
              <w:t xml:space="preserve">(apzīmē ar 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kas paredzēts materiālu apstrādei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mehāniskai apstrādei paredzēts tērauds un karsti cinkota tērauda detaļas ar svina saturu līdz 0,35 % no masas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vienlaidus karsti cinkota tērauda loksnes ar svina saturu līdz 0,35 % no masas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2016.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mehāniskai apstrādei paredzēts alumīnijs, kurā svina saturs ir līdz 2 % no masas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rezerves daļas transportlīdzekļiem, kas tirgū laisti pirms 2005. gada 1. jūlija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alumīnijs, kurā svina saturs ir līdz 1,5 % no masas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rezerves daļas transportlīdzekļiem, kas tirgū laisti pirms 2008. gada 1. jūlija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mehāniskai apstrādei paredzēti alumīnija sakausējumi, kuros svina saturs ir līdz 0,4 % no masas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2028.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alumīnija sakausējumi, kuros svina saturs ir līdz 0,4 % no masas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sakausējumi, kuros svina saturs ir līdz 4 % no masas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gultņu ieliktņi un bukses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rezerves daļas transportlīdzekļiem, kas tirgū laisti pirms 2008. gada 1. jūlija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gultņu ieliktņi un bukses motoros, transmisijās un gaisa kondicionēšanas sistēmu kompresoros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rezerves daļas transportlīdzekļiem, kas tirgū laisti pirms 2011. gada 1. jūlija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un tā savienojumi transportlīdzekļu detaļās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augstsprieguma sistēmu akumulatoru baterijās</w:t>
            </w:r>
            <w:r w:rsidR="00000000" w:rsidRPr="00000000" w:rsidDel="00000000">
              <w:rPr>
                <w:vertAlign w:val="superscript"/>
                <w:rtl w:val="0"/>
              </w:rPr>
              <w:t xml:space="preserve">(3)</w:t>
            </w:r>
            <w:r w:rsidR="00000000" w:rsidRPr="00000000" w:rsidDel="00000000">
              <w:rPr>
                <w:rtl w:val="0"/>
              </w:rPr>
              <w:t xml:space="preserve">, ko izmanto tikai M1 un N1 kategorijas transportlīdzekļu darbināšanai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2019.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akumulatoru baterijās citos pielietojumos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akumulatoru baterijās: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kuras izmanto 12 V lietojumiem;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kuras izmanto 24 V lietojumiem tikai speciālajos transportlīdzekļos, kas definēti Eiropas Parlamenta un Padomes 2018. gada 30. maija Regulas Nr. 2018/858/ES par mehānisko transportlīdzekļu un to piekabju, kā arī tādiem transportlīdzekļiem paredzētu sistēmu, sastāvdaļu un atsevišķu tehnisku vienību apstiprināšanu un tirgus uzraudzību un ar ko groza Regulas (EK) Nr. 715/2007 un (EK) 595/2009 un atceļ Direktīvu 2007/46/EK, 3. pantā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akumulatoru baterijās, kuras izmanto lietojumiem, kas nav iekļauti 2.1. vai 2.2.1. apakšpunktā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2024.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vibrācijas slāpētāji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2016.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vulkanizējošas vielas un elastomēru stabilizatori šļūtenēs, kas paredzētas bremžu, degvielas un gaisa dzesēšanai; šasijā un motora balstam izmantojamas elastomēru un metāla detaļas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rezerves daļas transportlīdzekļiem, kas tirgū laisti pirms 2005. gada 1. jūlija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vulkanizējošas vielas un elastomēru stabilizatori šļūtenēs, kas paredzētas bremžu, degvielas un gaisa dzesēšanai; šasijā un motora balstam izmantojamas elastomēru un metāla detaļas, kurās svina saturs ir līdz 0,5 % no masas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rezerves daļas transportlīdzekļiem, kas tirgū laisti pirms 2006. gada 1. jūlija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elastomēru saistvielas elektropārvades detaļās, kurās svina saturs ir līdz 0,5 % no masas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rezerves daļas transportlīdzekļiem, kas tirgū laisti pirms 2009. gada 1. jūlija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elektrisko un elektronisko detaļu pielodēšanai uz elektronisko shēmu platēm un svins komponentu izvadu pārklājumu sastāvā, izņemot alumīnija elektrolītiskos kondensatorus, svins detaļu spraudņu un elektronisko shēmu plašu pārklājumu sastāvā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2016.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ko izmanto elektroietaisēs, izņemot lodēšanai uz elektroniskajām shēmas platēm vai stikla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2011.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alumīnija elektrolītisko kondensatoru izvadu pārklājumu sastāvā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2013.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ko izmanto lodēšanai uz stikla gaisa caurplūdes sensoros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2015.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ar augstu kušanas temperatūru (t. i., svina sakausējumi ar svina saturu 85 % no masas vai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ko izmanto kontaktsaderīgu savienotāju sistēmās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2017.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ko izmanto kontaktsaderīgu savienotāju sistēmās, izņemot transportlīdzekļa kontaktsaderīgu savienotāju spraudņsavienojumu zonā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2024.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stabilu elektrisko savienojumu izveidei starp pusvadītāja mikroshēmu un datu nesēju integrētajās </w:t>
            </w:r>
            <w:r w:rsidR="00000000" w:rsidRPr="00000000" w:rsidDel="00000000">
              <w:rPr>
                <w:i w:val="1"/>
                <w:rtl w:val="0"/>
              </w:rPr>
              <w:t xml:space="preserve">flip-chip</w:t>
            </w:r>
            <w:r w:rsidR="00000000" w:rsidRPr="00000000" w:rsidDel="00000000">
              <w:rPr>
                <w:rtl w:val="0"/>
              </w:rPr>
              <w:t xml:space="preserve"> pakotnēs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2022. gada 1. oktobra,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svins lodmetālos stabilu elektrisko savienojumu izveidei starp pusvadītāja mikroshēmu un datu nesēju integrētajās </w:t>
            </w:r>
            <w:r w:rsidR="00000000" w:rsidRPr="00000000" w:rsidDel="00000000">
              <w:rPr>
                <w:i w:val="1"/>
                <w:rtl w:val="0"/>
              </w:rPr>
              <w:t xml:space="preserve">flip-chip</w:t>
            </w:r>
            <w:r w:rsidR="00000000" w:rsidRPr="00000000" w:rsidDel="00000000">
              <w:rPr>
                <w:rtl w:val="0"/>
              </w:rPr>
              <w:t xml:space="preserve"> pakotnēs, kur elektriskais savienojums sastāv no jebkura šāda elementa: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transportlīdzekļi, kuru tips apstiprināts, sākot ar 2022. gada 1. oktobri, un šiem transportlīdzekļiem paredzētās rezerves daļas</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vismaz 90 nm liels vai lielāks pusvadītāju tehnoloģiju mezgls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vismaz 300 mm</w:t>
            </w:r>
            <w:r w:rsidR="00000000" w:rsidRPr="00000000" w:rsidDel="00000000">
              <w:rPr>
                <w:vertAlign w:val="superscript"/>
                <w:rtl w:val="0"/>
              </w:rPr>
              <w:t xml:space="preserve">2</w:t>
            </w:r>
            <w:r w:rsidR="00000000" w:rsidRPr="00000000" w:rsidDel="00000000">
              <w:rPr>
                <w:rtl w:val="0"/>
              </w:rPr>
              <w:t xml:space="preserve"> liela vai lielāka atsevišķa mikroshēma jebkādā pusvadītāju tehnoloģijas mezglā</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grēdoto mikroshēmu pakotnes ar vismaz 300 mm</w:t>
            </w:r>
            <w:r w:rsidR="00000000" w:rsidRPr="00000000" w:rsidDel="00000000">
              <w:rPr>
                <w:vertAlign w:val="superscript"/>
                <w:rtl w:val="0"/>
              </w:rPr>
              <w:t xml:space="preserve">2</w:t>
            </w:r>
            <w:r w:rsidR="00000000" w:rsidRPr="00000000" w:rsidDel="00000000">
              <w:rPr>
                <w:rtl w:val="0"/>
              </w:rPr>
              <w:t xml:space="preserve"> lielu vai lielāku mikroshēmu vai vismaz 300 mm</w:t>
            </w:r>
            <w:r w:rsidR="00000000" w:rsidRPr="00000000" w:rsidDel="00000000">
              <w:rPr>
                <w:vertAlign w:val="superscript"/>
                <w:rtl w:val="0"/>
              </w:rPr>
              <w:t xml:space="preserve">2</w:t>
            </w:r>
            <w:r w:rsidR="00000000" w:rsidRPr="00000000" w:rsidDel="00000000">
              <w:rPr>
                <w:rtl w:val="0"/>
              </w:rPr>
              <w:t xml:space="preserve"> lielu vai lielāku silikona interpozeri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lodmetālā dzesinātāju piestiprināšanai radiatoriem pusvadītāju spēka ierīcēs ar shēmas projekcijas izmēru vismaz 1 cm</w:t>
            </w:r>
            <w:r w:rsidR="00000000" w:rsidRPr="00000000" w:rsidDel="00000000">
              <w:rPr>
                <w:vertAlign w:val="superscript"/>
                <w:rtl w:val="0"/>
              </w:rPr>
              <w:t xml:space="preserve">2</w:t>
            </w:r>
            <w:r w:rsidR="00000000" w:rsidRPr="00000000" w:rsidDel="00000000">
              <w:rPr>
                <w:rtl w:val="0"/>
              </w:rPr>
              <w:t xml:space="preserve"> un nominālo strāvas blīvumu vismaz 1 A/mm</w:t>
            </w:r>
            <w:r w:rsidR="00000000" w:rsidRPr="00000000" w:rsidDel="00000000">
              <w:rPr>
                <w:vertAlign w:val="superscript"/>
                <w:rtl w:val="0"/>
              </w:rPr>
              <w:t xml:space="preserve">2</w:t>
            </w:r>
            <w:r w:rsidR="00000000" w:rsidRPr="00000000" w:rsidDel="00000000">
              <w:rPr>
                <w:rtl w:val="0"/>
              </w:rPr>
              <w:t xml:space="preserve"> silīcija mikroshēmas virsmas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2016. gada 1. janvāra, un – pēc minētās dienas –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ko izmanto elektrosavienojumu lodēšanai pie stikla, izņemot laminēto stiklu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2016. gada 1. janvāra, un – pēc minētās dienas –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lodmetālos, ko izmanto lodēšanai pie laminētā stikla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2020. gada 1. janvāra, un – pēc minētās dienas –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sildierīču lodēšana (ar vismaz 0,5 A vai lielāku sildīšanas strāvu attiecīgajam lodsavienojumam) pie laminēta stikla atsevišķām rūtīm, kuru biezums nepārsniedz 2,1 mm. Atbrīvojums neattiecas uz lodēšanu pie starppolimērā iegultiem kontaktiem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2024.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vārstu ligzdas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rezerves daļas pirms 2003. gada 1. jūlija izstrādātiem motoru veidiem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svinu saturoši elektriskie un elektroniskie komponenti, kas satur svinu stikla vai keramikas materiāla sastāvā, elementos, kas integrēti stikla vai keramikas matricās, stiklkeramikas materiālā vai elementos, kas integrēti stiklkeramikas matricās. Šis izņēmums neattiecas uz svina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spuldžu kolbu stikla un aizdedzes sveču glazūras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šā pielikuma 2.22., 2.23. un 2.24. apakšpunktā minēto komponentu dielektriskajos materiālos no keramikas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perscript"/>
                <w:rtl w:val="0"/>
              </w:rPr>
              <w:t xml:space="preserve">(4)</w:t>
            </w:r>
            <w:r>
              <w:tab/>
            </w:r>
            <w:r>
              <w:br/>
            </w:r>
            <w:r w:rsidR="00000000" w:rsidRPr="00000000" w:rsidDel="00000000">
              <w:rPr>
                <w:rtl w:val="0"/>
              </w:rPr>
              <w:t xml:space="preserve">(detaļas, izņemot pjezoelektriķus motoros)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tādu kondensatoru dielektrisko keramikas materiālu sastāvā uz svina cirkonāta titanāta (PZT) bāzes, kuri ir integrālshēmu vai diskrēto pusvadītāju ierīču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tādu kondensatoru dielektrisko keramikas materiālu sastāvā, kuru nominālais spriegums ir mazāks par 125 V maiņstrāvai vai 250 V līdzstrāvai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2016.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svins tādu kondensatoru dielektrisko keramikas materiālu sastāvā, kas paredzēti ultraskaņas akustisko sistēmu sensoru noviržu kompensācijai, kuras saistītas ar temperatūras izmaiņām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2017. gada 1. janvāra, un – pēc minētās dienas –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pirotehniskie ierosinātāji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2006. gada 1. jūlija,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svinu saturoši termoelektriski materiāli, ko izmanto automobiļu elektroierīcēm, kas paredzētas CO</w:t>
            </w:r>
            <w:r w:rsidR="00000000" w:rsidRPr="00000000" w:rsidDel="00000000">
              <w:rPr>
                <w:vertAlign w:val="subscript"/>
                <w:rtl w:val="0"/>
              </w:rPr>
              <w:t xml:space="preserve">2</w:t>
            </w:r>
            <w:r w:rsidR="00000000" w:rsidRPr="00000000" w:rsidDel="00000000">
              <w:rPr>
                <w:rtl w:val="0"/>
              </w:rPr>
              <w:t xml:space="preserve"> emisiju samazināšanai, rekuperējot izplūdes gāzu siltumenerģiju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2019. gada 1. janvāra,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Sešvērtīgais hroms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pretkorozijas pārklājumi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rezerves daļas transportlīdzekļiem, kas tirgū laisti pirms 2007. gada 1. jūlija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pretkorozijas pārklājumi šasijās lietojamu skrūvju un uzgriežņu blokiem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rezerves daļas transportlīdzekļiem, kas tirgū laisti pirms 2008. gada 1. jūlija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pretkorozijas līdzeklis absorbcijas ledusskapju dzesēšanas sistēmās no oglekļa tērauda, ja tā saturs nepārsniedz 0,75 % no dzesēšanas šķīduma masas: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 paredzēts pilnībā vai daļēji izmantot ar elektrisko sildītāju, kura vidējā izmantotā elektriskā ieejas jauda &lt;75 W pastāvīgas ekspluatācijas apstākļos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2020. gada 1. janvāra, un šiem transportlīdzekļiem paredzētās rezerves daļas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 paredzēts pilnībā vai daļēji izmantot ar elektrisko sildītāju, kura vidējā izmantotā elektriskā ieejas jauda ≥ 75 W pastāvīgas ekspluatācijas apstākļos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2026. gada 1. janvāra, un šiem transportlīdzekļiem paredzētās rezerves daļas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 paredzēts pilnībā izmantot ar neelektrisku sildītāju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2026. gada 1. janvāra, un šiem transportlīdzekļiem paredzētās rezerves daļas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Dzīvsudrabs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galvenajiem lukturiem paredzētās izlādspuldzes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2012. gada 1. jūlija,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kontrolmērinstrumentu paneļu displejos izmantojamās fluorescences lampas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 kuru tips apstiprināts pirms 2012. gada 1. jūlija, un šiem transportlīdzekļiem paredzētās rezerves 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Kadmijs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elektrisko transportlīdzekļu akumulatoru baterijas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rezerves daļas transportlīdzekļiem, kas tirgū laisti pirms 2008. gada 31. decembra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Transportlīdzekļu homogēnā materiālā var pieļaut svina, sešvērtīgā hroma un dzīvsudraba saturu līdz 0,1 % no masas, bet kadmija saturu līdz 0,01 % no masas.</w:t>
      </w:r>
      <w:r>
        <w:tab/>
      </w:r>
      <w:r>
        <w:br/>
      </w:r>
      <w:r w:rsidR="00000000" w:rsidRPr="00000000" w:rsidDel="00000000">
        <w:rPr>
          <w:vertAlign w:val="superscript"/>
          <w:rtl w:val="0"/>
        </w:rPr>
        <w:t xml:space="preserve">(2)</w:t>
      </w:r>
      <w:r w:rsidR="00000000" w:rsidRPr="00000000" w:rsidDel="00000000">
        <w:rPr>
          <w:rtl w:val="0"/>
        </w:rPr>
        <w:t xml:space="preserve"> Attiecas uz alumīnija sakausējumiem, kur svins nav pievienots ar nolūku, bet ir sakausējuma sastāvā, jo tiek izmantots pārstrādāts alumīnijs.</w:t>
      </w:r>
      <w:r>
        <w:tab/>
      </w:r>
      <w:r>
        <w:br/>
      </w:r>
      <w:r w:rsidR="00000000" w:rsidRPr="00000000" w:rsidDel="00000000">
        <w:rPr>
          <w:vertAlign w:val="superscript"/>
          <w:rtl w:val="0"/>
        </w:rPr>
        <w:t xml:space="preserve">(3)</w:t>
      </w:r>
      <w:r w:rsidR="00000000" w:rsidRPr="00000000" w:rsidDel="00000000">
        <w:rPr>
          <w:rtl w:val="0"/>
        </w:rPr>
        <w:t xml:space="preserve"> Sistēmas, kuru līdzstrāvas spriegums ir &gt; 75 V, atbilstoši Eiropas Parlamenta un Padomes 2014. gada 26. februāra Direktīvai 2014/35/EK par dalībvalstu tiesību aktu saskaņošanu attiecībā uz tādu elektroiekārtu pieejamību tirgū, kas paredzētas lietošanai noteiktās sprieguma robežās.</w:t>
      </w:r>
      <w:r>
        <w:tab/>
      </w:r>
      <w:r>
        <w:br/>
      </w:r>
      <w:r w:rsidR="00000000" w:rsidRPr="00000000" w:rsidDel="00000000">
        <w:rPr>
          <w:vertAlign w:val="superscript"/>
          <w:rtl w:val="0"/>
        </w:rPr>
        <w:t xml:space="preserve">(4)</w:t>
      </w:r>
      <w:r w:rsidR="00000000" w:rsidRPr="00000000" w:rsidDel="00000000">
        <w:rPr>
          <w:rtl w:val="0"/>
        </w:rPr>
        <w:t xml:space="preserve"> Ja, izjaucot sastāvdaļas un materiālus, ir pārsniegta robežvērtība – 60 gramu uz transportlīdzekli (neattiecas uz iekārtām, ko nav uzstādījis ražotājs ražošanas procesā)."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23-TA-158</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23-TA-158</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noteikumu_(grozījumu)_projekts_p_23-TA-158.docx</dc:title>
</cp:coreProperties>
</file>

<file path=docProps/custom.xml><?xml version="1.0" encoding="utf-8"?>
<Properties xmlns="http://schemas.openxmlformats.org/officeDocument/2006/custom-properties" xmlns:vt="http://schemas.openxmlformats.org/officeDocument/2006/docPropsVTypes"/>
</file>