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16. jūnija noteikumos Nr. 383 "Noteikumi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w:t>
      </w:r>
      <w:r>
        <w:br/>
      </w:r>
      <w:r w:rsidR="00000000" w:rsidRPr="00000000" w:rsidDel="00000000">
        <w:rPr>
          <w:rStyle w:val="paragraph"/>
          <w:i w:val="1"/>
          <w:rtl w:val="0"/>
        </w:rPr>
        <w:t xml:space="preserve">ceturto daļu, </w:t>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16. jūnija noteikumos Nr. 383 "Noteikumi par garantijām saimnieciskās darbības veicējiem konkurētspējas uzlabošanai" (Latvijas Vēstnesis, 2020, 119., 248. nr.; 2022, 121. nr.; 2023, 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Attīstības finanšu institūcijas likuma 12. panta ceturto daļu, Eiropas Savienības struktūrfondu un Kohēzijas fonda 2014.–2020. gada plānošanas perioda vadības likuma 20. panta 14. punktu un Eiropas Savienības fondu 2021.–2027. gada plānošanas perioda vadības likuma 19. panta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Eiropas Savienības kohēzijas politikas programmas 2021.–2027. gadam 1.2.2. specifiskā atbalsta mērķa "Izmantot digitalizācijas priekšrocības uzņēmējdarbības attīstībai" 1.2.2.2. pasākumu "Individuālās garantijas digitalizācijai un automatizācijai" (turpmāk – 1.2.2.2. pasākums) un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mazas vidējās kapitalizācijas un vidējās kapitalizācijas sabiedrības, kas atbilst Eiropas Parlamenta un Padomes 2015. gada 25. jūnija Regulas (ES) 2015/1017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Mazajiem vidējās kapitalizācijas un vidējās kapitalizācijas saimnieciskās darbības veicējiem ir pieejama garantija tikai 1.2.2.2. un 1.2.3.4. 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13.1.1.1. pasākumam – ERAF finansējums 7 459 282 </w:t>
      </w:r>
      <w:r w:rsidR="00000000" w:rsidRPr="00000000" w:rsidDel="00000000">
        <w:rPr>
          <w:i w:val="1"/>
          <w:rtl w:val="0"/>
        </w:rPr>
        <w:t xml:space="preserve">euro</w:t>
      </w:r>
      <w:r w:rsidR="00000000" w:rsidRPr="00000000" w:rsidDel="00000000">
        <w:rPr>
          <w:rtl w:val="0"/>
        </w:rPr>
        <w:t xml:space="preserve"> apmērā un valsts budžeta finansējums 1 540 719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1.2.3.4. un 1.2.2.2.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Garantijas par šo noteikumu 8.4. apakšpunktā minēto finanšu pakalpojumu netiek sniegtas 1.2.3.4. un 1.2.2.2. 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ja bruto subsīdijas ekvivalents tiek aprēķināts saskaņā ar Komisijas regulas Nr. 1407/2013 4. panta 6. punkta "c" apakšpunktu, – 5 000 000 </w:t>
      </w:r>
      <w:r w:rsidR="00000000" w:rsidRPr="00000000" w:rsidDel="00000000">
        <w:rPr>
          <w:i w:val="1"/>
          <w:rtl w:val="0"/>
        </w:rPr>
        <w:t xml:space="preserve">euro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vai 7 000 000 </w:t>
      </w:r>
      <w:r w:rsidR="00000000" w:rsidRPr="00000000" w:rsidDel="00000000">
        <w:rPr>
          <w:i w:val="1"/>
          <w:rtl w:val="0"/>
        </w:rPr>
        <w:t xml:space="preserve">euro</w:t>
      </w:r>
      <w:r w:rsidR="00000000" w:rsidRPr="00000000" w:rsidDel="00000000">
        <w:rPr>
          <w:rtl w:val="0"/>
        </w:rPr>
        <w:t xml:space="preserve">, ja garantija tiek sniegta 1.2.2.2. pasākuma ietvaros un garantijas sākotnējais termiņš nepārsniedz 10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Papildus šo noteikumu 16. punkta nosacījumiem 1.2.3.4. un 1.2.2.2. pasākuma ietvaros garantiju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 nozarēs, kas noteiktas Eiropas Parlamenta un Padomes 2021. gada 24. jūnija Regulas (ES) Nr. 2021/1058 par Eiropas Reģionālās attīstības fondu un Kohēzijas fondu 7. panta 1.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 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64. panta 1. punkta "b"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 Eiropas Savienības fondu projektu līdzfinansēšanai, kā arī priekšfinansēšanai saskaņā ar regulas Nr. 2021/1060 58. panta 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 darbībām, kuras uzskatāmas par faktiski pabeigtām vai pilnībā īstenotām, pirms ir iesniegts pieteikums atbalsta programmas finansējuma saņemšanai, ievērojot regulas Nr. 2021/1060 63. panta 6.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 esošu vai jaunu saistību dzēšanai, tai skaitā parāda procentiem saskaņā ar regulas Nr. 2021/1060 64. panta 1.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Saimnieciskās darbības veicējam garantiju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ja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Subsīdijas ekvivalentu lielajam saimnieciskās darbības veicējam un mazai vidējās kapitalizācijas un vidējās kapitalizācijas sabiedrībai aprēķina, piemērojot Komisijas regulas Nr. 1407/2013 4. panta 6. punkta "b" apakšpunkta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ir pārkāptas Komisijas regulas Nr. 1407/2013 prasības, atbalsta saņēmējam ir pienākums atmaksāt sabiedrībai "Altum"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valsts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Atbalstu, kas piešķirts 1.2.2.2. pasākuma ietvaros, nedrīkst apvienot ar citu atbalstu par tām pašām izmaksām, kas piešķirts 1.2.3.4. 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32.3.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1.2.2.2. un 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Garantijas 1.2.2.2. un 1.2.3.4. pasākumam piešķir, kad finansējums 3.1.1.1. un 13.1.1.1. pasākumam komersantiem ir piešķirts pilnā apmērā vai jaunas garantijas nevar piešķirt atbilstoši 3.1.1.1. un 13.1.1.1. pasākuma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23-TA-1073</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23-TA-1073</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noteikumu_(grozījumu)_projekts_23-TA-1073.docx</dc:title>
</cp:coreProperties>
</file>

<file path=docProps/custom.xml><?xml version="1.0" encoding="utf-8"?>
<Properties xmlns="http://schemas.openxmlformats.org/officeDocument/2006/custom-properties" xmlns:vt="http://schemas.openxmlformats.org/officeDocument/2006/docPropsVTypes"/>
</file>