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26.augusta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piemaksas karavīriem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101"/>
        <w:gridCol w:w="1952"/>
        <w:gridCol w:w="3676"/>
        <w:tblGridChange w:id="0">
          <w:tblGrid>
            <w:gridCol w:w="610"/>
            <w:gridCol w:w="3101"/>
            <w:gridCol w:w="1952"/>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Karavīra amats un dienesta pienākumi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Karavīrs, kurš dienesta pienākumus pilda uz militārā kuģa jūrā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stundā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 dienesta pienākumus uz militārā kuģa jūrā, nav iekļauts kuģa pasažieru sarakstā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kuģa apkalpes loceklis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25,00 </w:t>
            </w:r>
            <w:r w:rsidR="00000000" w:rsidRPr="00000000" w:rsidDel="00000000">
              <w:rPr>
                <w:i w:val="1"/>
                <w:rtl w:val="0"/>
              </w:rPr>
              <w:t xml:space="preserve">euro </w:t>
            </w:r>
            <w:r w:rsidR="00000000" w:rsidRPr="00000000" w:rsidDel="00000000">
              <w:rPr>
                <w:rtl w:val="0"/>
              </w:rPr>
              <w:t xml:space="preserve">stundā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tajā mēnesī nolidotajām stundām, par kuru saņem atalgojumu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vienu un to pašu laikposmu karavīram var noteikt tikai vienu no šajā pielikumā minētajām piemaksām.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1. punktā minēto piemaksu nesaņem karavīrs, kuram izmaksā algas pabalstu par dienestu ārvalstī.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Karavīram, kurš sniedz atbalstu karavīru apmācību, Latvijas Nacionālo bruņoto spēku kontingenta apmācību dalībai starptautiskajā operācijā vai ātrās reaģēšanas spēkos, kā arī zemessargu vai rezerves karavīru apmācību organizēšanā vai piedalās to vadībā, ir tieši iesaistīts Latvijas Republikas kā uzņemošās valsts atbalsta funkcijas izpildes nodrošināšanā, kā arī sniedz atbalstu Latvijas Nacionālo bruņoto spēku vienību un ārvalstu bruņoto spēku vienību kopējo militāro mācību organizēšanā Latvijas Republikas teritorijā vai ārvalstīs un tādu mācību organizēšanā, kas saistītas ar gatavošanos dalībai NATO vai Eiropas Savienības kaujas dežūrās, vai piedalās minēto mācību vadībā, vai strādā ar valsts noslēpuma objektiem, ja tie saistīti ar valsts drošību, aizsardzību vai sabiedroto atbalstu, kā arī ņemot vērā karavīra ieguldījumu vienības mērķu sasniegšanā, var noteikt piemaksu līdz 30 procentiem no mēnešalgas."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22-TA-728</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22-TA-728</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noteikumu_(grozījumu)_projekts_p3_22-TA-728.docx</dc:title>
</cp:coreProperties>
</file>

<file path=docProps/custom.xml><?xml version="1.0" encoding="utf-8"?>
<Properties xmlns="http://schemas.openxmlformats.org/officeDocument/2006/custom-properties" xmlns:vt="http://schemas.openxmlformats.org/officeDocument/2006/docPropsVTypes"/>
</file>