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12. decembra noteikumos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12. decembra noteikumos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(Latvijas Vēstnesis, 2023,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"5.1.1.1. bērni vecumā līdz 18 gadiem  – 1280;".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"5.1.2.1. bērni vecumā līdz 18 gadiem – 3843;".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"5.1.2.2. nacionāla, reģionāla vai vietēja mēroga valsts administrācijas vai sabiedrisko pakalpojumu iestāžu un pakalpojumu skaits – 438;".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otrās kārtas ietvaros līdz 2029.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  atbalstu saņēmušie bērni vecumā līdz 18 gadiem – 6000;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nacionāla, reģionāla vai vietēja mēroga valsts administrācijas vai sabiedrisko pakalpojumu iestāžu un pakalpojumu skaits – 100."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līdz 2029. gada 31. decembrim sasniedzams rezultāta rādītājs: to bērnu kumulatīvais skaits, kuriem ir attīstības grūtības, attīstības nepietiekamība vai tās veidošanās riski un kuriem veicināta pozitīva attīstība un pašrealizācija, – 9843: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pirmās kārtas ietvaros atbalstu saņēmušie bērni vecumā līdz 18 gadiem – 3843;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otrās kārtas ietvaros atbalstu saņēmušie bērni vecumā līdz 18 gadiem – 6000."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plānotais kopējais attiecināmais finansējums ir 40 939 310 </w:t>
      </w:r>
      <w:r w:rsidR="00000000" w:rsidRPr="00000000" w:rsidDel="00000000">
        <w:rPr>
          <w:i w:val="1"/>
          <w:rtl w:val="0"/>
        </w:rPr>
        <w:t xml:space="preserve">euro</w:t>
      </w:r>
      <w:r w:rsidR="00000000" w:rsidRPr="00000000" w:rsidDel="00000000">
        <w:rPr>
          <w:rtl w:val="0"/>
        </w:rPr>
        <w:t xml:space="preserve"> (no tā elastības finansējums – 5 738 371 </w:t>
      </w:r>
      <w:r w:rsidR="00000000" w:rsidRPr="00000000" w:rsidDel="00000000">
        <w:rPr>
          <w:i w:val="1"/>
          <w:rtl w:val="0"/>
        </w:rPr>
        <w:t xml:space="preserve">euro</w:t>
      </w:r>
      <w:r w:rsidR="00000000" w:rsidRPr="00000000" w:rsidDel="00000000">
        <w:rPr>
          <w:rtl w:val="0"/>
        </w:rPr>
        <w:t xml:space="preserve">), tai skaitā Eiropas Sociālā fonda Plus finansējums – 34 798 413 </w:t>
      </w:r>
      <w:r w:rsidR="00000000" w:rsidRPr="00000000" w:rsidDel="00000000">
        <w:rPr>
          <w:i w:val="1"/>
          <w:rtl w:val="0"/>
        </w:rPr>
        <w:t xml:space="preserve">euro</w:t>
      </w:r>
      <w:r w:rsidR="00000000" w:rsidRPr="00000000" w:rsidDel="00000000">
        <w:rPr>
          <w:rtl w:val="0"/>
        </w:rPr>
        <w:t xml:space="preserve"> (no tā elastības finansējums – 4 877 616 </w:t>
      </w:r>
      <w:r w:rsidR="00000000" w:rsidRPr="00000000" w:rsidDel="00000000">
        <w:rPr>
          <w:i w:val="1"/>
          <w:rtl w:val="0"/>
        </w:rPr>
        <w:t xml:space="preserve">euro</w:t>
      </w:r>
      <w:r w:rsidR="00000000" w:rsidRPr="00000000" w:rsidDel="00000000">
        <w:rPr>
          <w:rtl w:val="0"/>
        </w:rPr>
        <w:t xml:space="preserve">) un valsts budžeta līdzfinansējums – 6 140 897 </w:t>
      </w:r>
      <w:r w:rsidR="00000000" w:rsidRPr="00000000" w:rsidDel="00000000">
        <w:rPr>
          <w:i w:val="1"/>
          <w:rtl w:val="0"/>
        </w:rPr>
        <w:t xml:space="preserve">euro</w:t>
      </w:r>
      <w:r w:rsidR="00000000" w:rsidRPr="00000000" w:rsidDel="00000000">
        <w:rPr>
          <w:rtl w:val="0"/>
        </w:rPr>
        <w:t xml:space="preserve"> (no tā elastības finansējums – 860 755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pirmajā kārtā pieejamais kopējais finansējums ir 22 019 592 </w:t>
      </w:r>
      <w:r w:rsidR="00000000" w:rsidRPr="00000000" w:rsidDel="00000000">
        <w:rPr>
          <w:i w:val="1"/>
          <w:rtl w:val="0"/>
        </w:rPr>
        <w:t xml:space="preserve">euro</w:t>
      </w:r>
      <w:r w:rsidR="00000000" w:rsidRPr="00000000" w:rsidDel="00000000">
        <w:rPr>
          <w:rtl w:val="0"/>
        </w:rPr>
        <w:t xml:space="preserve">, ko veido Eiropas Sociālā fonda Plus finansējums – 18 716 653 </w:t>
      </w:r>
      <w:r w:rsidR="00000000" w:rsidRPr="00000000" w:rsidDel="00000000">
        <w:rPr>
          <w:i w:val="1"/>
          <w:rtl w:val="0"/>
        </w:rPr>
        <w:t xml:space="preserve">euro</w:t>
      </w:r>
      <w:r w:rsidR="00000000" w:rsidRPr="00000000" w:rsidDel="00000000">
        <w:rPr>
          <w:rtl w:val="0"/>
        </w:rPr>
        <w:t xml:space="preserve"> un valsts budžeta līdzfinansējums – 3 302 939 </w:t>
      </w:r>
      <w:r w:rsidR="00000000" w:rsidRPr="00000000" w:rsidDel="00000000">
        <w:rPr>
          <w:i w:val="1"/>
          <w:rtl w:val="0"/>
        </w:rPr>
        <w:t xml:space="preserve">euro</w:t>
      </w:r>
      <w:r w:rsidR="00000000" w:rsidRPr="00000000" w:rsidDel="00000000">
        <w:rPr>
          <w:rtl w:val="0"/>
        </w:rPr>
        <w:t xml:space="preserve">, projekta iesniegumā  kopējo pieejamo finansējumu plāno ne vairāk kā 18 933 155 </w:t>
      </w:r>
      <w:r w:rsidR="00000000" w:rsidRPr="00000000" w:rsidDel="00000000">
        <w:rPr>
          <w:i w:val="1"/>
          <w:rtl w:val="0"/>
        </w:rPr>
        <w:t xml:space="preserve">euro </w:t>
      </w:r>
      <w:r w:rsidR="00000000" w:rsidRPr="00000000" w:rsidDel="00000000">
        <w:rPr>
          <w:rtl w:val="0"/>
        </w:rPr>
        <w:t xml:space="preserve">apmērā, ko veido Eiropas Sociālā fonda Plus finansējums  16 093 181</w:t>
      </w:r>
      <w:r w:rsidR="00000000" w:rsidRPr="00000000" w:rsidDel="00000000">
        <w:rPr>
          <w:i w:val="1"/>
          <w:rtl w:val="0"/>
        </w:rPr>
        <w:t xml:space="preserve"> euro</w:t>
      </w:r>
      <w:r w:rsidR="00000000" w:rsidRPr="00000000" w:rsidDel="00000000">
        <w:rPr>
          <w:rtl w:val="0"/>
        </w:rPr>
        <w:t xml:space="preserve"> apmērā un valsts budžeta līdzfinansējums 2 839 974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otrajā kārtā pieejamais kopējais finansējums ir 18 919 718 </w:t>
      </w:r>
      <w:r w:rsidR="00000000" w:rsidRPr="00000000" w:rsidDel="00000000">
        <w:rPr>
          <w:i w:val="1"/>
          <w:rtl w:val="0"/>
        </w:rPr>
        <w:t xml:space="preserve">euro</w:t>
      </w:r>
      <w:r w:rsidR="00000000" w:rsidRPr="00000000" w:rsidDel="00000000">
        <w:rPr>
          <w:rtl w:val="0"/>
        </w:rPr>
        <w:t xml:space="preserve">, ko veido Eiropas Sociālā fonda Plus finansējums – 16 081 760 </w:t>
      </w:r>
      <w:r w:rsidR="00000000" w:rsidRPr="00000000" w:rsidDel="00000000">
        <w:rPr>
          <w:i w:val="1"/>
          <w:rtl w:val="0"/>
        </w:rPr>
        <w:t xml:space="preserve">euro</w:t>
      </w:r>
      <w:r w:rsidR="00000000" w:rsidRPr="00000000" w:rsidDel="00000000">
        <w:rPr>
          <w:rtl w:val="0"/>
        </w:rPr>
        <w:t xml:space="preserve"> un valsts budžeta līdzfinansējums – 2 837 958 </w:t>
      </w:r>
      <w:r w:rsidR="00000000" w:rsidRPr="00000000" w:rsidDel="00000000">
        <w:rPr>
          <w:i w:val="1"/>
          <w:rtl w:val="0"/>
        </w:rPr>
        <w:t xml:space="preserve">euro</w:t>
      </w:r>
      <w:r w:rsidR="00000000" w:rsidRPr="00000000" w:rsidDel="00000000">
        <w:rPr>
          <w:rtl w:val="0"/>
        </w:rPr>
        <w:t xml:space="preserve">, projekta iesniegumā kopējo pieejamo finansējumu plāno ne vairāk kā 16 267 784 </w:t>
      </w:r>
      <w:r w:rsidR="00000000" w:rsidRPr="00000000" w:rsidDel="00000000">
        <w:rPr>
          <w:i w:val="1"/>
          <w:rtl w:val="0"/>
        </w:rPr>
        <w:t xml:space="preserve">euro </w:t>
      </w:r>
      <w:r w:rsidR="00000000" w:rsidRPr="00000000" w:rsidDel="00000000">
        <w:rPr>
          <w:rtl w:val="0"/>
        </w:rPr>
        <w:t xml:space="preserve">apmērā, ko veido Eiropas Sociālā fonda Plus finansējums 13 827 616 </w:t>
      </w:r>
      <w:r w:rsidR="00000000" w:rsidRPr="00000000" w:rsidDel="00000000">
        <w:rPr>
          <w:i w:val="1"/>
          <w:rtl w:val="0"/>
        </w:rPr>
        <w:t xml:space="preserve">euro</w:t>
      </w:r>
      <w:r w:rsidR="00000000" w:rsidRPr="00000000" w:rsidDel="00000000">
        <w:rPr>
          <w:rtl w:val="0"/>
        </w:rPr>
        <w:t xml:space="preserve"> apmērā un valsts budžeta finansējums 2 440 168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atbildīgā iestāde pēc Eiropas Komisijas lēmuma par vidusposma pārskatu var ierosināt no 2026. gada 1. janvāra palielināt projektiem pieejamo kopējo finansējumu līdz šo noteikumu 7.1. un 7.2. apakšpunktā minētajam katrā kārtā pieejamam kopējam finansējuma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Finansējuma saņēmējs projekta īstenošanai var piesaistīt sadarbības partnerus – nozaru ministrijas, kuru politika ir saistīta ar pasākuma mērķa sasniegšanu (piemēram, Izglītības un zinātnes ministriju, Veselības ministriju, Labklājības ministriju), vai to padotības iestādes, ārstniecības iestādes, kuras atbilst metodiskās vadības institūcijas statusam vai kuras sniedz sekundārus ambulatorus pakalpojumus, valsts zinātniskās institūcijas, pašvaldības, kā arī nevalstiskās organizācijas, kuru darbības joma ir saistīta ar pasākuma mērķa grupu interešu pārstāvniecību."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pierādījumos balstītu profilakses un agrīnās intervences programmu īstenošanai Latvijā nepieciešamās licences iegāde bērnu psihoemocionālās un psihosociālās attīstības vajadzību atbalstam, metodiku izstrāde, adaptēšana, aprobēšana, izstrādāto instrumentu digitalizēšana un metodiskā vadība;".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bērnu attīstības vajadzību novērtēšanas instrumentu sistēmas izveide un pilotēšana;".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mācības, e-mācības, praktiskie treniņi un supervīzijas pedagogiem, veselības aprūpes un citiem darbā ar bērniem iesaistītajiem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"18.13. padziļināta attīstības risku izvērtēšana un atbalsta pasākumu plāna izstrāde bērnu attīstības multiprofesionālā speciālistu komandā bērniem ar konstatētiem augstiem riskiem attīstībā, bērnu attīstības multiprofesionālo speciālistu komandu darba nodrošināšana, tai skaitā  agrīno intervenču nodrošināšana, metodikas izstrāde bērnu attīstības multiprofesionālo speciālistu komandu darbam, pamatojoties uz starpsektoru sadarbību (tikai otrās kārtas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"18.14. konsultantu, ekspertu un speciālistu piesaiste;".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18.15.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"18.15. izvērtējumu, pētījumu, ekspertīžu un analīzes veikšana;".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18.16.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"18.16. komunikācijas kampaņas, informatīvie un izglītojošie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 komunikācijas un vizuālās identitātes prasību nodrošināšanas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18.18.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"18.18. projekta vadības un projekta īstenošanas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tiešās attiecināmās personāla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 pirmās kārtas ietvaros tiešās attiecināmās personāla izmaksas, kuras ir šo noteikumu 18.18. apakšpunktā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šo noteikumu 20.2. apakšpunktā  minētajām projekta tiešajām attiecināmajām īstenošanas izmaksām. Minētās atbalstāmās darbības ietvaros ir attiecināmas finansējuma saņēmēja projekta vadības personāla un īstenošanas personāla, kā arī sadarbības partnera  personāla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20.1.2. otrās kārtas ietvaros tiešās attiecināmās personāla izmaksas, kuras ir šo noteikumu 18.18. apakšpunktā minētās atbalstāmās darbības attiecināmās izmaksas, plāno kā faktiskās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pārējās projekta tiešās attiecināmās īstenošanas izmaksas, kuras ir šo noteikumu 18.1.–18.17. apakšpunktā minēto darbību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"21.10. ārvalstu komandējumu izmaksas šo noteikumu 18.1.–18.13. apakšpunktā minētās atbalstāmās darbības īstenošanai. Ārvalstu komandējumu izmaksas aprēķina un atlīdzina atbilstoši normatīvajiem aktiem par kārtību, kādā atlīdzināmi ar komandējumiem saistītie izdevumi projekta vadības un īstenošanas personālam;".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iekšzemes komandējumu un darba braucienu izmaksas šo noteikumu 18.1.–18.13. apakšpunktā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"21.15. citas informatīvo un izglītojošo pasākumu īstenošanas izmaksas šo noteikumu 18.16.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21.17.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"21.17. materiāli tehniskā aprīkojuma iegādes izmaksas agrīno intervenču un novērtēšanas instrumentu ieviešanai."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pakalpojumu (uzņēmuma) līgumos, kurus slēdz šo noteikumu 21.1. apakšpunktā minēto atbalstāmo pakalpojumu īstenošanai, atkarībā no līguma veida un satura var paredzēt avansa maksājumus ne vairāk kā 20 procentu apmērā (nepiemērojot Ministru kabineta 2016. gada 20. septembra instrukciju Nr. 3 "Ārvalstu finanšu instrumentu finansētu civiltiesisku līgumu izstrādes un slēgšanas instrukcija valsts tiešās pārvaldes iestādēs") no attiecīgā līguma summas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 paraksta apliecinājumu par interešu konflikta neesību saskaņā ar Eiropas Parlamenta un Padomes 2024. gada 23. septembra Regulu (ES, Euratom) 2024/2509 par finanšu noteikumiem, ko piemēro Savienības vispārējam budžetam (pārstrādāta redakcija)."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25-TA-1092</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25-TA-1092</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noteikumu_(grozījumu)_projekts_25-TA-1092.docx</dc:title>
</cp:coreProperties>
</file>

<file path=docProps/custom.xml><?xml version="1.0" encoding="utf-8"?>
<Properties xmlns="http://schemas.openxmlformats.org/officeDocument/2006/custom-properties" xmlns:vt="http://schemas.openxmlformats.org/officeDocument/2006/docPropsVTypes"/>
</file>