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oktobrī (prot. Nr. 44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25. jūnija noteikumos Nr. 403 "Prasības mājas (istabas) dzīvnieku specializētajām tirdzniecības vietām un to reģistrācijas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25. panta 11. punktu un </w:t>
      </w:r>
      <w:r w:rsidR="00000000" w:rsidRPr="00000000" w:rsidDel="00000000">
        <w:rPr>
          <w:rStyle w:val="paragraph"/>
          <w:i w:val="1"/>
          <w:rtl w:val="0"/>
        </w:rPr>
        <w:t xml:space="preserve">Dzīvnieku aizsardzības likuma</w:t>
      </w:r>
      <w:r w:rsidR="00000000" w:rsidRPr="00000000" w:rsidDel="00000000">
        <w:rPr>
          <w:rStyle w:val="paragraph"/>
          <w:i w:val="1"/>
          <w:rtl w:val="0"/>
        </w:rPr>
        <w:t xml:space="preserve"> 18.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 un 18.</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25. jūnija noteikumos Nr. 403 "Prasības mājas (istabas) dzīvnieku specializētajām tirdzniecības vietām un to reģistrācijas kārtība" (Latvijas Vēstnesis, 2024, 123.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tirdzniecībai paredzēto dzīvnieku sugas un skaitu vai daudzumu;".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ir regulāri uzturēts tīrs un, ja nepieciešams, dezinficēts ar dzīvnieku turēšanas vietām piemērotu dezinfekcijas līdzekli. Pirms jaunu dzīvnieku ievietošanas to turēšanas vieta ir iztīrīta un dezinficēta, izņemot akvāriju, kas aprīkots ar ūdens filtrācijas sistēmu."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25-TA-338</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25-TA-338</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noteikumu_(grozījumu)_projekts_25-TA-338.docx</dc:title>
</cp:coreProperties>
</file>

<file path=docProps/custom.xml><?xml version="1.0" encoding="utf-8"?>
<Properties xmlns="http://schemas.openxmlformats.org/officeDocument/2006/custom-properties" xmlns:vt="http://schemas.openxmlformats.org/officeDocument/2006/docPropsVTypes"/>
</file>