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829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22. decembrī (prot. Nr. 53 58.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2009. gada 30. novembra noteikumos Nr. 1375 "Noteikumi par rūpnieciskās zvejas limitiem un to izmantošanas kārtību piekrastes ūdeņos"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Zvejniecības likuma</w:t>
      </w:r>
      <w:r w:rsidR="00000000" w:rsidRPr="00000000" w:rsidDel="00000000">
        <w:rPr>
          <w:rStyle w:val="paragraph"/>
          <w:i w:val="1"/>
          <w:rtl w:val="0"/>
        </w:rPr>
        <w:t xml:space="preserve"> 11.panta 4.</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2009. gada 30. novembra noteikumos Nr. 1375 "Noteikumi par rūpnieciskās zvejas limitiem un to izmantošanas kārtību piekrastes ūdeņos" (Latvijas Vēstnesis, 2009, 194. nr.; 2010, 192. nr.; 2011, 54. nr.; 2012, 19. nr.; 2013, 4., 159., 239. nr.; 2014, 257. nr.; 2015, 252. nr.; 2016, 251. nr.; 2017, 238. nr.; 2018, 245. nr.; 2019, 251. nr.; 2021, 34., 248. nr.; 2022, 243. nr.; 2023, 247. nr.; 2025, 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Atbilstoši šiem noteikumiem un valsts zinātniskā institūta "Pārtikas drošības, dzīvnieku veselības un vides zinātniskais institūts "BIOR"" (turpmāk – institūts) zinātniski pamatotām rekomendācijām pašvaldībām, kuru administratīvā teritorija robežojas ar piekrastes ūdeņiem, tiek noteikts zvejas rīku skaita pamatlimits (2. pielikums), kā arī aprēķināts piekrastes zvejā izmantojamais mencu nozvejas apjoma limits (1. pielikums) un reņģu nozvejas apjoma limits attiecīgajos Rīgas līča ģeogrāfiskajos rajonos (3.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fiziskajām un juridiskajām personām, ar kurām noslēgti rūpnieciskās zvejas tiesību nomas līgumi (turpmāk – zvejnieki), izvērtējot zvejas efektivitāti atbilstoši normatīvajiem aktiem par rūpnieciskās zvejas tiesību nomu un zvejas tiesību izmantošanas kārtību, iedala zvejas rīku skaitu un, ja tas ir noteikts tieši piemērojamos Eiropas Savienības normatīvajos aktos un atbilst to prasībām, – mencu nozvejas apjomu. Citu zivju sugu (izņemot mencas) nozvejas apjomu atsevišķiem zvejniekiem rūpnieciskās zvejas tiesību nomas līguma protokolā nenorāda;";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5.1.</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pēc tā zvejnieka pieprasījuma, kurš nodarbojas ar komerciālo zveju (turpmāk – komerczvejnieks), iedala selektīvu zvejas rīku limitu, ievērojot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1. selektīvo zvejas rīku limitu iedala, aizvietojot komerczvejniekam jau piešķirto citu zvejas rīku limitu un piemērojot zvejas rīku aizvietošanas proporciju, kas noteikta atbilstoši institūta sniegtajam atzinumam, kuru institūts nosūta pašvaldībai un Zemkopības ministrijai;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2. pēc selektīvo zvejas rīku limita piešķiršanas tiek noteikts vismaz piecu gadu izmēģinājuma periods, kura laikā pašvaldība sadarbībā ar komerczvejnieku izvērtē selektīvā zvejas rīka efektivitāti. Ja izvērtējumā konstatē, ka selektīvais zvejas rīks nav piemērots attiecīgajai zvejas vietai ekonomisko vai bioloģisko parametru dēļ, komerczvejniekam ir tiesības atgriezties pie iepriekšējā neselektīvo vai mazāk selektīvo zvejas rīku limita, attiecīgi anulējot selektīvo zvejas rīku limita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5.3.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saskaņā ar šo noteikumu 2. pielikumu un 12. punktu uz katru pašvaldības piekrastei noteikto tīklu limita skaita vienību iedala limitu – vienu zivju vai reņģu tīklu, kas ir garāks par 50 metriem, bet nepārsniedz 100 metrus, vai divus līdz 50 metriem garus zivju vai reņģu tīklus, ievērojot to, ka līdz 50 metriem garu tīklu limits var tikt iedalīts izmantošanai tikai pašpatēriņa zvejā (vienam zvejniekam viens tīkla limits);";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Pašvaldība nedrīkst pārdalīt citiem zvejas tiesību nomniekiem to zvejas rīku limitu, kas bija iedalīts zvejas tiesību nomniekam, kurš nodevis sadalīšanai (tostarp sagriešanai metāllūžņos) vai izmantošanai citiem ar zvejniecību nesaistītiem mērķiem pēdējo viņa īpašumā esošo zvejas kuģi, kā arī stāvvadu limitu, kas bija iedalīts zvejas tiesību nomniekam, kurš nodevis sadalīšanai (tostarp sagriešanai metāllūžņos) vai izmantošanai citiem ar zvejniecību nesaistītiem mērķiem zvejā ar stāvvadiem iesaistītu zvejas kuģi un saņēmis par to atbalstu saskaņā ar Ministru kabineta 2008. gada 6. maija noteikumiem Nr. 323 "Valsts un Eiropas Savienības atbalsta piešķiršanas kārtība zivsaimniecības attīstībai pasākumam "Zvejas aktivitāšu pilnīga pārtraukšana"". Zemkopības ministrija apkopo minēto informāciju un atbilstošajai piekrastes pašvaldībai samazina šo noteikumu 2. pielikumā tai piešķirto zvejas rīku skaita pamatlimitu.";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Zemkopības ministrija nodrošina informācijas ievadi valsts informācijas sistēmā "Latvijas zivsaimniecības integrētā kontroles un informācijas sistēma" (turpmāk – informācijas sistēma) par šo noteikumu 5.1.</w:t>
      </w:r>
      <w:r w:rsidR="00000000" w:rsidRPr="00000000" w:rsidDel="00000000">
        <w:rPr>
          <w:vertAlign w:val="superscript"/>
          <w:rtl w:val="0"/>
        </w:rPr>
        <w:t xml:space="preserve">1</w:t>
      </w:r>
      <w:r w:rsidR="00000000" w:rsidRPr="00000000" w:rsidDel="00000000">
        <w:rPr>
          <w:rtl w:val="0"/>
        </w:rPr>
        <w:t xml:space="preserve"> apakšpunktā minētā zvejas rīku limita aizvietošanu ar selektīvo zvejas rīku limitu, kā arī aktualizē datus par pašvaldībai noteiktā kopējā zvejas rīku skaita limita maiņu, atsevišķi norādot selektīvo zvejas rīku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Katram zvejniekam pašpatēriņa zvejai gadā var iedalīt ne vairāk kā vienu noenkurotu žaunu tīklu, ne vairāk kā vienu reņģu tīklu un ne vairāk kā 100 āķu. Zvejniekam pašpatēriņa zvejai var iedalīt visu minēto zvejas rīku veidu limitu, bet vienlaikus zvejā atļauts lietot tikai vienu zvejas rīku veidu.";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Konkrētās zivju sugas zveja piekrastē tiek pārtraukta, kad tās kopējais zvejas limits, kas noteikts saskaņā ar šo noteikumu 2. punktu, atbilstoši informācijas sistēmas datiem ir pilnībā izmantots un Zemkopības ministrija savā tīmekļvietnē un plašsaziņas līdzekļos ir paziņojusi par konkrētās zivju sugas zvejas pārtraukšanu piekrastē.";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Zvejnieks pašvaldības administratīvajā teritorijā iedalīto zvejas rīku limitu var izmantot arī jebkurā citā šīs pašvaldības administratīvās teritorijas mazākajā vienībā, ja tas ir paredzēts rūpnieciskās zvejas tiesību nomas līgumā ar pašvaldību vai šī līguma protokolā un ja to pieļauj konkrēto zivju sugu limita izmantošanas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Zemkopības ministrija apkopo institūta izvērtētos un atbalstītos priekšlikumus par zvejas limitu maiņu un informāciju par limitu samazinājumu, ņemot vērā šo noteikumu 5.</w:t>
      </w:r>
      <w:r w:rsidR="00000000" w:rsidRPr="00000000" w:rsidDel="00000000">
        <w:rPr>
          <w:vertAlign w:val="superscript"/>
          <w:rtl w:val="0"/>
        </w:rPr>
        <w:t xml:space="preserve">1</w:t>
      </w:r>
      <w:r w:rsidR="00000000" w:rsidRPr="00000000" w:rsidDel="00000000">
        <w:rPr>
          <w:rtl w:val="0"/>
        </w:rPr>
        <w:t xml:space="preserve"> punktā minēto nosacījumu, un līdz kārtējā gada 15. decembrim atbilstošajām pašvaldībām nosūta informāciju par šo noteikumu 2. pielikumā noteikto zvejas rīku skaita pamatlimita palielinājumu vai samazinājumu, publicē to Zemkopības ministrijas tīmekļvietnē, kā arī ievada pašvaldībām paredzēto zvejas limitu izmaiņas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Ja institūts, izvērtējot piekrastes pašvaldībām piešķirto un zvejniekiem iedalīto zvejas rīku apjomu pēdējo divu gadu laikā, konstatē, ka atbilstošajā pašvaldībā konkrēts zvejas rīku limits zvejniekiem ir iedalīts mazāk nekā 60 procentu apjomā, tas ierosina Zemkopības ministrijai pārdalīt neiedalīto zvejas rīku limita daļu pašvaldībai vai pašvaldībām, kurās piešķirtie zvejas rīku limiti ir iedalīti vismaz 90 procentu apjomā un ir liels zvejnieku pieprasījums pēc šo zvejas rīku papildlimitiem. Zemkopības ministrija izvērtē un apkopo institūta iesniegtos priekšlikumus par zvejas rīku limita izmaiņām pašvaldībām un iesniedz Ministru kabinetā atbilstošu tiesību akta projektu par šo noteikumu 2. pielikumā noteiktā zvejas rīku skaita pamatlimita 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2026.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25-TA-2327</w:t>
    </w:r>
    <w:r>
      <w:br/>
    </w:r>
    <w:r w:rsidR="00000000" w:rsidRPr="00000000" w:rsidDel="00000000">
      <w:rPr>
        <w:rtl w:val="0"/>
      </w:rPr>
      <w:t xml:space="preserve">Izdrukāts 29.07.2026. 22.56 - 1.0.VK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25-TA-2327</w:t>
    </w:r>
    <w:r>
      <w:br/>
    </w:r>
    <w:r w:rsidR="00000000" w:rsidRPr="00000000" w:rsidDel="00000000">
      <w:rPr>
        <w:rtl w:val="0"/>
      </w:rPr>
      <w:t xml:space="preserve">Izdrukāts 29.07.2026. 22.56 - 1.0.VK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noteikumu_(grozījumu)_projekts_25-TA-2327.docx</dc:title>
</cp:coreProperties>
</file>

<file path=docProps/custom.xml><?xml version="1.0" encoding="utf-8"?>
<Properties xmlns="http://schemas.openxmlformats.org/officeDocument/2006/custom-properties" xmlns:vt="http://schemas.openxmlformats.org/officeDocument/2006/docPropsVTypes"/>
</file>