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19.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Aizdevuma procentu likme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24.03.2020. noteikumu Nr. 153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likmes zemāko robežu nosaka Eiropas Komisija, 2020. gada 1. janvārī publicētajai bāzes likmei pieskaitot tabulā norādītās kredītriska robežas atbilstoši saimnieciskās darbības veidam un aizdevuma termiņam (bet ne mazāk kā 10 bāzes punkti).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2047"/>
        <w:gridCol w:w="1760"/>
        <w:gridCol w:w="2335"/>
        <w:gridCol w:w="2047"/>
        <w:tblGridChange w:id="0">
          <w:tblGrid>
            <w:gridCol w:w="993"/>
            <w:gridCol w:w="2047"/>
            <w:gridCol w:w="1760"/>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Kredītriska robežas aizdevumiem, kuru atmaksas termiņš ir līdz vienam gadam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Kredītriska robežas aizdevumiem, kuru atmaksas termiņš ir līdz trim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Kredītriska robežas aizdevumiem, kuru atmaksas termiņš ir līdz sešiem gadiem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bāzes punkti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24-TA-1582</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24-TA-1582</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noteikumu_konsolidētā_versija_p_24-TA-1582.docx</dc:title>
</cp:coreProperties>
</file>

<file path=docProps/custom.xml><?xml version="1.0" encoding="utf-8"?>
<Properties xmlns="http://schemas.openxmlformats.org/officeDocument/2006/custom-properties" xmlns:vt="http://schemas.openxmlformats.org/officeDocument/2006/docPropsVTypes"/>
</file>