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(Latvijas Vēstnesis, 2016, 164., 246. nr.; 2017, 130. nr.; 2018, 137., 217. nr.; 2019, 102. nr.; 2020, 146. nr.; 2021, 122. nr.; 2022, 74. nr.; 2023, 188.,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Finansējuma saņēmējs visā projekta dzīves ciklā sagatavo ikgadēju pārskatu par papildinošas saimnieciskās darbības apjomu un nodrošina aprēķinus pamatojošo dokumentu pieejamību. Ja finansējuma saņēmējs konstatē, ka ir pārsniegts šo noteikumu 48. punktā minētais 20 % ierobežojums no infrastruktūras gada jaudas platības, laika vai finanšu izteiksmē vai ka veiktās investīcijas tiek izmantotas citai saimnieciskai darbībai, kas nav uzskatāma par papildinošu saimniecisko darbību, tas 10 darbdienu laikā pēc pārskata sagatavošanas iesniedz sadarbības iestādē ziņojumu par konstatēto šo noteikumu 48. punktā minēto nosacījumu pārkāpumu. Sadarbības iestādei ir tiesības finansējuma saņēmējam pieprasīt pārskatus par papildinošu saimniecisko darbību visā projekta dzīves cikla laikā, tai skaitā gadījumos, kad no finansējuma saņēmēja, kompetentajām iestādēm vai no trešajām personām saņemta informācija par papildinošas saimnieciskās darbības nosacījumu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Finansējuma saņēmējs šo noteikumu 50. punktā minēto pārskatu par 2024. pārskata gadu sagatavo līdz 2025. gada 1. jūlijam, bet, sākot ar 2025. pārskata gadu, – līdz nākamā gada 1. martam."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25-TA-282</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25-TA-282</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noteikumu_(grozījumu)_projekts_25-TA-282.docx</dc:title>
</cp:coreProperties>
</file>

<file path=docProps/custom.xml><?xml version="1.0" encoding="utf-8"?>
<Properties xmlns="http://schemas.openxmlformats.org/officeDocument/2006/custom-properties" xmlns:vt="http://schemas.openxmlformats.org/officeDocument/2006/docPropsVTypes"/>
</file>