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2025. gadam un budžeta ietvaru 2025., 2026. un 2027. 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24-TA-590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