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Tieslietu ministrijas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Tieslietu ministrijas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sniedz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Cenrāža 1., 2., 3., 4., 7. un 8. punktā minēto pakalpojumu var saņemt steidzamības kārtā piecu darbdienu laikā, norādot precīzu civilstāvokļa akta reģistrācijas gadu un vietu vai ziņas par vārda, uzvārda un tautības ieraksta maiņu. Maksai par šādu pakalpojumu piemēro koeficientu 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samaksas par pakalpojumu, uzrādot attiecīgu statusu apliecinošu dokumentu, atbrīvo: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kura atrodas pilnā valsts vai pašvaldības apgādībā;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normatīvajos aktos noteiktajā kārtībā ir atzīta par trūcīgu;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bāreni vai bez vecāku gādības palikušu bērnu pēc pilngadības sasniegšanas līdz 24 gadu vecuma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daudzbērnu ģimeni.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par pakalpojumu norēķinās pirms pakalpojuma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veic, izmantojot šādus maksājumu pakalpojumu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maksājumu karti maksājumu karšu pieņemšanas terminālī.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2013. gada 3. septembra noteikumus Nr. 738 "Tieslietu ministrijas maksas pakalpojumu cenrādis" (Latvijas Vēstnesis, 2013, 174.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Noteikumi stājas spēkā 2018.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23-TA-2283</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23-TA-2283</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noteikumu_konsolidētā_versija_23-TA-2283.docx</dc:title>
</cp:coreProperties>
</file>

<file path=docProps/custom.xml><?xml version="1.0" encoding="utf-8"?>
<Properties xmlns="http://schemas.openxmlformats.org/officeDocument/2006/custom-properties" xmlns:vt="http://schemas.openxmlformats.org/officeDocument/2006/docPropsVTypes"/>
</file>