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aprīlī (prot. Nr. 18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8. februāra noteikumos Nr. 112 "Kārtība, kādā piešķiramas un izlietojamas mērķdotācijas investīcijām pašvaldībām"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Reģionālās attīstības likuma</w:t>
      </w:r>
      <w:r w:rsidR="00000000" w:rsidRPr="00000000" w:rsidDel="00000000">
        <w:rPr>
          <w:rStyle w:val="paragraph"/>
          <w:i w:val="1"/>
          <w:rtl w:val="0"/>
        </w:rPr>
        <w:t xml:space="preserve"> </w:t>
      </w:r>
      <w:r w:rsidR="00000000" w:rsidRPr="00000000" w:rsidDel="00000000">
        <w:rPr>
          <w:rStyle w:val="paragraph"/>
          <w:i w:val="1"/>
          <w:rtl w:val="0"/>
        </w:rPr>
        <w:t xml:space="preserve">14. panta</w:t>
      </w:r>
      <w:r w:rsidR="00000000" w:rsidRPr="00000000" w:rsidDel="00000000">
        <w:rPr>
          <w:rStyle w:val="paragraph"/>
          <w:i w:val="1"/>
          <w:rtl w:val="0"/>
        </w:rPr>
        <w:t xml:space="preserve"> 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8. februāra noteikumos Nr. 112 "Kārtība, kādā piešķiramas un izlietojamas mērķdotācijas investīcijām pašvaldībām" (Latvijas Vēstnesis, 2022, 33. nr.; 2023, 153., 241.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4</w:t>
      </w:r>
      <w:r w:rsidR="00000000" w:rsidRPr="00000000" w:rsidDel="00000000">
        <w:rPr>
          <w:rtl w:val="0"/>
        </w:rPr>
        <w:t xml:space="preserve"> Pašvaldības, kuru investīciju projekti ir atbalstīti ar Ministru kabineta 2022. gada 31. maija rīkojumu Nr. 403 "Par atbalstītajiem pašvaldību augstas gatavības mērķdotāciju investīciju projektiem 2022. gadā" un kuras šo noteikumu 13.2. apakšpunktā, 14. vai 14.</w:t>
      </w:r>
      <w:r w:rsidR="00000000" w:rsidRPr="00000000" w:rsidDel="00000000">
        <w:rPr>
          <w:vertAlign w:val="superscript"/>
          <w:rtl w:val="0"/>
        </w:rPr>
        <w:t xml:space="preserve">1</w:t>
      </w:r>
      <w:r w:rsidR="00000000" w:rsidRPr="00000000" w:rsidDel="00000000">
        <w:rPr>
          <w:rtl w:val="0"/>
        </w:rPr>
        <w:t xml:space="preserve"> punktā minētajā kārtībā ir noslēgušas investīciju projekta īstenošanai nepieciešamos iepirkuma līgumus, bet investīciju projekta īstenošanu nav pabeigušas šo noteikumu 4.5. apakšpunktā un 14.</w:t>
      </w:r>
      <w:r w:rsidR="00000000" w:rsidRPr="00000000" w:rsidDel="00000000">
        <w:rPr>
          <w:vertAlign w:val="superscript"/>
          <w:rtl w:val="0"/>
        </w:rPr>
        <w:t xml:space="preserve">1</w:t>
      </w:r>
      <w:r w:rsidR="00000000" w:rsidRPr="00000000" w:rsidDel="00000000">
        <w:rPr>
          <w:rtl w:val="0"/>
        </w:rPr>
        <w:t xml:space="preserve"> punktā minētajā termiņā, var lūgt aģentūru, pamatojot nepārvaramas varas vai citu objektīvu apstākļu ietekmi, pagarināt attiecīgā investīciju projekta īstenošanas termiņu līdz 2024. gada 31. augustam, līdz šim termiņam nodrošinot ar šā investīciju projekta mērķa sasniegšanu saistīto objektu nodošanu ekspluatācijā (ja attiecināms) un piešķirtā valsts budžeta finansējuma izlietošanu."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24-TA-223</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24-TA-223</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noteikumu_(grozījumu)_projekts_24-TA-223.docx</dc:title>
</cp:coreProperties>
</file>

<file path=docProps/custom.xml><?xml version="1.0" encoding="utf-8"?>
<Properties xmlns="http://schemas.openxmlformats.org/officeDocument/2006/custom-properties" xmlns:vt="http://schemas.openxmlformats.org/officeDocument/2006/docPropsVTypes"/>
</file>