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 decembra noteikumos Nr. 582 "Kārtība, kādā īsteno valsts atbalsta programmu par aizdevumu piešķiršanu apgrozāmo līdzekļu iegādei lauksaimniecības, mežsaimniecības, zvejniecības un akvakultūras nozarē" (Latvijas Vēstnesis, 2019, 245. nr.; 2023, 218. nr.; 2024, 49., 94.,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Lai saņemtu aizdevumu vai to restrukturizētu, atbalsta pretendents sabiedrībā "Altum" iesniedz iesniegumu un informāciju par saņemto </w:t>
      </w:r>
      <w:r w:rsidR="00000000" w:rsidRPr="00000000" w:rsidDel="00000000">
        <w:rPr>
          <w:i w:val="1"/>
          <w:rtl w:val="0"/>
        </w:rPr>
        <w:t xml:space="preserve">de minimis</w:t>
      </w:r>
      <w:r w:rsidR="00000000" w:rsidRPr="00000000" w:rsidDel="00000000">
        <w:rPr>
          <w:rtl w:val="0"/>
        </w:rPr>
        <w:t xml:space="preserve"> atbalstu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bet, ja atbalsts tiek piešķirts saskaņā ar Komisijas regulu Nr. 717/2014, –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sabiedrība "Altum" vienam vienotam uzņēmumam paredzētu </w:t>
      </w:r>
      <w:r w:rsidR="00000000" w:rsidRPr="00000000" w:rsidDel="00000000">
        <w:rPr>
          <w:i w:val="1"/>
          <w:rtl w:val="0"/>
        </w:rPr>
        <w:t xml:space="preserve">de minimis</w:t>
      </w:r>
      <w:r w:rsidR="00000000" w:rsidRPr="00000000" w:rsidDel="00000000">
        <w:rPr>
          <w:rtl w:val="0"/>
        </w:rPr>
        <w:t xml:space="preserve"> atbalstu aizdevumam vai tā restrukturizācijai piešķir saskaņā ar Komisijas regulu 2023/2831, Komisijas regulu Nr. 1408/2013 vai Komisijas regulu Nr. 717/2014, tas nepārsniedz Komisijas regulas 2023/2831 3. panta 2. punktā vai Komisijas regulas Nr. 1408/2013 3. panta 2. un 3. punktā noteikto maksimālo trīs gadu periodā piešķirto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atbalsta apmēru, skaitot no atbalsta piešķiršanas dienas, vai Komisijas regulas Nr. 717/2014 3. panta 2.a punktā noteikto </w:t>
      </w:r>
      <w:r w:rsidR="00000000" w:rsidRPr="00000000" w:rsidDel="00000000">
        <w:rPr>
          <w:i w:val="1"/>
          <w:rtl w:val="0"/>
        </w:rPr>
        <w:t xml:space="preserve">de minimis</w:t>
      </w:r>
      <w:r w:rsidR="00000000" w:rsidRPr="00000000" w:rsidDel="00000000">
        <w:rPr>
          <w:rtl w:val="0"/>
        </w:rPr>
        <w:t xml:space="preserve"> atbalsta maksimālo apmēru. Šo noteikumu izpratnē viens vienots uzņēmums ir uzņēmums, kas atbilst Komisijas regulas 2023/2831 2. panta 2. punktā, Komisijas regulas Nr. 1408/2013 2. panta 2. punktā vai Komisijas regulas Nr. 717/2014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Atbalsta pretendentam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vai Komisijas regulas Nr. 717/2014 3. panta 2.a punktā, vai Komisijas regulas Nr. 1408/2013 3. panta 2. punktā noteiktajam attiecīgajam robežlielumam un ar citu valsts atbalstu attiecībā uz vienām un tām pašām attiecināmajām izmaksām vai citu valsts atbalstu tam pašam riska finansējuma pasākumam, ja ar šo kumulāciju netiek pārsniegta attiecīgā maksimālā atbalsta intensitāte vai atbalsta summa, kas noteikta citā valsts atbalsta programmā vai Eiropas Komisijas lēmumā, atbilstoši Komisijas regulas 2023/2831 5. panta 1., 2. un 3. punktam vai Komisijas regulas Nr. 717/2014 5. panta 1., 2. un 3. punktam, vai Komisijas regulas Nr. 1408/2013 5. panta 1., 2., 2.a un 3.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24-TA-3263</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24-TA-3263</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noteikumu_(grozījumu)_projekts_24-TA-3263.docx</dc:title>
</cp:coreProperties>
</file>

<file path=docProps/custom.xml><?xml version="1.0" encoding="utf-8"?>
<Properties xmlns="http://schemas.openxmlformats.org/officeDocument/2006/custom-properties" xmlns:vt="http://schemas.openxmlformats.org/officeDocument/2006/docPropsVTypes"/>
</file>