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janvārī (prot. Nr. 1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2006. gada 20. jūnija noteikumos Nr. 495 "Likuma "Par nekustamā īpašuma nodokli" normu piemērošanas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nekustamā īpašuma nodokli</w:t>
      </w:r>
      <w:r w:rsidR="00000000" w:rsidRPr="00000000" w:rsidDel="00000000">
        <w:rPr>
          <w:rStyle w:val="paragraph"/>
          <w:i w:val="1"/>
          <w:rtl w:val="0"/>
        </w:rPr>
        <w:t xml:space="preserve">" 12.pantu un pārejas noteikumu 9.punkta 11.apakšpunktu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2006. gada 20. jūnija noteikumos Nr. 495 "Likuma "Par nekustamā īpašuma nodokli" normu piemērošanas kārtība" (Latvijas Vēstnesis, 2006, 98. nr.; 2007, 205. nr.; 2009, 57., 206. nr.; 2012, 38. nr.; 2013, 198. nr.; 2014, 116.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Piemērojot likuma 1. panta otrās daļas 1.</w:t>
      </w:r>
      <w:r w:rsidR="00000000" w:rsidRPr="00000000" w:rsidDel="00000000">
        <w:rPr>
          <w:vertAlign w:val="superscript"/>
          <w:rtl w:val="0"/>
        </w:rPr>
        <w:t xml:space="preserve">2 </w:t>
      </w:r>
      <w:r w:rsidR="00000000" w:rsidRPr="00000000" w:rsidDel="00000000">
        <w:rPr>
          <w:rtl w:val="0"/>
        </w:rPr>
        <w:t xml:space="preserve">punktu, ar nodokli neapliek arī pašvaldībai piekritīgo zemi (tās daļu), uz kuru pastāv likumiskās zemes lietošanas tiesības."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piemērojami ar 2024. gada 1. janvāri.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23-TA-2915</w:t>
    </w:r>
    <w:r>
      <w:br/>
    </w:r>
    <w:r w:rsidR="00000000" w:rsidRPr="00000000" w:rsidDel="00000000">
      <w:rPr>
        <w:rtl w:val="0"/>
      </w:rPr>
      <w:t xml:space="preserve">Izdrukāts 29.07.2026. 23.27 - 1.0.VK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23-TA-2915</w:t>
    </w:r>
    <w:r>
      <w:br/>
    </w:r>
    <w:r w:rsidR="00000000" w:rsidRPr="00000000" w:rsidDel="00000000">
      <w:rPr>
        <w:rtl w:val="0"/>
      </w:rPr>
      <w:t xml:space="preserve">Izdrukāts 29.07.2026. 23.27 - 1.0.VK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