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17. februārī (prot. Nr. 7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2026. gada 13. janvāra noteikumos Nr. 13 "Noteikumi par piemaksu noteikšanas kārtību un to apmēru valsts un pašvaldību institūcijās 2026.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budžetu 2026. gadam un budžeta ietvaru 2026., 2027. un 2028. gadam"</w:t>
      </w:r>
      <w:r w:rsidR="00000000" w:rsidRPr="00000000" w:rsidDel="00000000">
        <w:rPr>
          <w:rStyle w:val="paragraph"/>
          <w:i w:val="1"/>
          <w:rtl w:val="0"/>
        </w:rPr>
        <w:t xml:space="preserve"> 79. panta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2026. gada 13. janvāra noteikumos Nr. 13 "Noteikumi par piemaksu noteikšanas kārtību un to apmēru valsts un pašvaldību institūcijās 2026. gadā" (Latvijas Vēstnesis, 2026, 8A.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fiziskā darba veicēju, kuram noteikta mēnešalga atbilstoši 1., 2., 3. vai 4. mēnešalgu grupai. Šādā gadījumā piemaksas apmērs nedrīkst pārsniegt 30 procentus no darbiniekam noteiktās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amatpersona (darbinieks) saņem vienu vai vairākas šo noteikumu 3., 5. vai 7. punktā minētās piemaksas, to kopsumma nedrīkst pārsniegt 20 procentus no amatpersonai (darbiniekam) noteiktās mēnešalgas, izņemot šādas personas: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valsts drošības iestādes amatpersonai (darbiniekam) piemaksu kopsumma nedrīkst pārsniegt 30 procentus no amatpersonai (darbiniekam) noteiktās mēnešalgas;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fiziskā darba veicējam, kuram noteikta mēnešalga atbilstoši 1., 2., 3. vai 4. mēnešalgu grupai, piemaksu kopsumma nedrīkst pārsniegt 30 procentus no darbiniekam noteiktās mēnešalgas;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ārstniecības personai piemaksu kopsumma nedrīkst pārsniegt 50 procentus no ārstniecības personai noteiktās mēnešalgas;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karavīram un amatpersonai ar speciālo dienesta pakāpi, kura saņem piemaksu par papildu pedagoģisko darbu, piemaksu kopsumma nedrīkst pārsniegt karavīram vai amatpersonai noteikto mēnešalgu."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26-TA-364</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26-TA-364</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noteikumu_(grozījumu)_projekts_26-TA-364.docx</dc:title>
</cp:coreProperties>
</file>

<file path=docProps/custom.xml><?xml version="1.0" encoding="utf-8"?>
<Properties xmlns="http://schemas.openxmlformats.org/officeDocument/2006/custom-properties" xmlns:vt="http://schemas.openxmlformats.org/officeDocument/2006/docPropsVTypes"/>
</file>