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22. jūnija noteikumos Nr. 397 "Noteikumi par atkritumu apsaimniekošanas valsts un reģionālajiem plāniem un atkritumu rašanās novēršanas valsts programmu"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Atkritumu apsaimniekošanas likuma</w:t>
      </w:r>
      <w:r w:rsidR="00000000" w:rsidRPr="00000000" w:rsidDel="00000000">
        <w:rPr>
          <w:rStyle w:val="paragraph"/>
          <w:i w:val="1"/>
          <w:rtl w:val="0"/>
        </w:rPr>
        <w:t xml:space="preserve"> 9. panta ceturto</w:t>
      </w:r>
      <w:r>
        <w:br/>
      </w:r>
      <w:r w:rsidR="00000000" w:rsidRPr="00000000" w:rsidDel="00000000">
        <w:rPr>
          <w:rStyle w:val="paragraph"/>
          <w:i w:val="1"/>
          <w:rtl w:val="0"/>
        </w:rPr>
        <w:t xml:space="preserve">un piekto daļu, 11. panta otro un trešo daļu</w:t>
      </w:r>
      <w:r>
        <w:br/>
      </w:r>
      <w:r w:rsidR="00000000" w:rsidRPr="00000000" w:rsidDel="00000000">
        <w:rPr>
          <w:rStyle w:val="paragraph"/>
          <w:i w:val="1"/>
          <w:rtl w:val="0"/>
        </w:rPr>
        <w:t xml:space="preserve">un </w:t>
      </w:r>
      <w:r w:rsidR="00000000" w:rsidRPr="00000000" w:rsidDel="00000000">
        <w:rPr>
          <w:rStyle w:val="paragraph"/>
          <w:i w:val="1"/>
          <w:rtl w:val="0"/>
        </w:rPr>
        <w:t xml:space="preserve">Attīstības plānošanas sistēmas likuma</w:t>
      </w:r>
      <w:r w:rsidR="00000000" w:rsidRPr="00000000" w:rsidDel="00000000">
        <w:rPr>
          <w:rStyle w:val="paragraph"/>
          <w:i w:val="1"/>
          <w:rtl w:val="0"/>
        </w:rPr>
        <w:t xml:space="preserve"> 11. panta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22. jūnija noteikumos Nr. 397 "Noteikumi par atkritumu apsaimniekošanas valsts un reģionālajiem plāniem un atkritumu rašanās novēršanas valsts programmu" (Latvijas Vēstnesis, 2021, 122.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2.2.2.5.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"2.2.2.5. bateriju atkritumi;".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2.2.2.12.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"2.2.2.12. sadzīves bīstamie atkritumi.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2.2.3.2.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"2.2.3.2. pastāvošās atkritumu reģenerācijas vietas un iekārtas un atkritumu apglabāšanas vietas un iekārtas (it īpaši attiecībā uz šo noteikumu 2.2.2.1., 2.2.2.5., 2.2.2.6., 2.2.2.7., 2.2.2.10. un 2.2.2.12. apakšpunktā minētajiem atkritumiem);".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atkritumu rašanās novēršanas valsts programmu, ietverot pasākumus, lai veicinātu atkritumu sagatavošanu atkārtotai izmantošanai, tajā skaitā, veicinot sagatavošanas atkārtotai izmantošanai un remontu tīklu izveidi un atbalstu tiem, kā arī ekonomikas instrumentu, iepirkuma kritēriju, kvantitatīvu mērķu vai citu pasākumu izmantošanu, kā arī atvieglojot šiem tīkliem piekļuvi tādiem atkritumu savākšanas sistēmu vai iekārtu operatoru īpašumā esošiem atkritumiem, kurus var sagatavot atkārtotai izmantošanai, bet ko minētie operatori neparedz sagatavot atkārtotai izmantošanai;".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3.4.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pasākumus visu veidu piegružošanas novēršanai un mazināšanai un visu veidu piegružojuma savākšanai atbilstoši normatīvajiem aktiem par jūras vides aizsardzību un pārvaldību un normatīvajiem aktiem par ūdens apsaimniekošanu;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3.5.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pasākumus, lai veicinātu bioloģisko atkritumu pārstrādi, tostarp kompostēšanu un sadalīšanos, tādā veidā, kas nodrošina augstu vides aizsardzības līmeni un ļauj panākt, ka rezultāti atbilst attiecīgiem augstiem kvalitātes standartiem, mudinātu kompostēšanu veikt mājsaimniecībās, kā arī atbalstītu no bioloģiskiem atkritumiem ražotu materiālu izmantošanu;".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3.6.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pasākumus atbilstoši Eiropas Parlamenta un Padomes 2024. gada 11. aprīļa Regulas (ES) 2024/1252, ar ko izveido satvaru tam, kā nodrošināt drošu un ilgtspējīgu apgādi ar kritiski svarīgām izejvielām, un groza Regulas (ES) Nr. 168/2013, (ES) 2018/858, (ES) 2018/1724 un (ES) 2019/1020, 26.panta 1.punkta b), c), g) un h)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7.4.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 pasākumus un aktivitātes pārtikas atkritumu rašanās novēršanas programmas īstenošanai visā pārtikas piegādes ķēdē, tai skaitā primārajā ražošanā, pārstrādē un izgatavošanā, mazumtirdzniecībā un citos pārtikas izplatīšanas kanālos, restorānos un sabiedriskajā ēdināšanā, kā arī mājsaimniecībās, kas ietver vismaz: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7.4.1. paradumu maiņas intervences pasākumu, kuru mērķis ir samazināt pārtikas izšķērdēšanu, un informācijas kampaņas, kuru mērķis ir veicināt izpratni par pārtikas izšķērdēšanas novēršanu, izstrādi un atbalstīšanu;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7.4.2. pārtikas piegādes ķēdes darbības nepilnību apzināšanu un novēršanu;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7.4.3. atbalstu sadarbībai starp visiem pārtikas piegādes ķēdes dalībniekiem, vienlaikus nodrošinot tādu preventīvo pasākumu izmaksu un ieguvumu taisnīgu sadali, kas var ietvert tādas tirgus prakses novēršanu, kura rada pārtikas atkritumus, un tādu produktu pārdošanas un izmantošanas atbalstīšanu, attiecībā uz kuriem piešķirta atkāpe atbilstoši  Eiropas Parlamenta un Padomes 2013. gada 17. decembra Regulas (ES) Nr. 1308/2013, ar ko izveido lauksaimniecības produktu tirgu kopīgu organizāciju un atceļ Padomes Regulas (EEK) Nr. 922/72, (EEK) Nr. 234/79, (EK) Nr. 1037/2001 un (EK) Nr. 1234/2007, 76. panta 4.punktam, ievērojot minēto atkāpju piešķiršanas nosacījumus, ja tādi ir;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7.4.4. ziedošanas un cita veida pārdales cilvēku patēriņam veicināšanu, nodrošinot, ka priekšroka tiek dota pārtikas izmantošanai cilvēku uzturā, nevis dzīvnieku barošanai un pārstrādāšanai nepārtikas precēs;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7.4.5. atbalstu mācībām un prasmju pilnveidei;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7.4.6. mazo un vidējo uzņēmumu, un sociālās ekonomikas struktūru piekļuvi finansējumam, izstrādājot publiskā finansējuma piešķiršanas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7.4.7. inovāciju un tehnoloģiskus risinājumu sekmēšanu un veicināšanu, lai novērstu pārtikas atkritumu rašanos, papildus Eiropas Parlamenta un Padomes 2024. gada 19. decembra  Regulas (ES) 2025/40 par iepakojumu un iepakojuma atkritumiem, ar ko groza Regulu (ES) 2019/1020 un Direktīvu (ES) 2019/904 un atceļ Direktīvu 94/62/EK un jo īpaši tās 6. pantā noteiktajam."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Svītrot 9.2.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Svītrot 9.5.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Svītrot 9.9.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Klimata un enerģētikas ministrija ne retāk kā reizi četros gados izvērtē atkritumu apsaimniekošanas valsts plāna ieviešanu un veic atkritumu rašanās novēršanas valsts programmas pasākumu ieviešanas monitoringu, kā arī par minētās izvērtēšanas un monitoringa rezultātiem sagatavo informatīvo ziņojumu un, ja nepieciešams, grozījumus atkritumu apsaimniekošanas valsts plānā vai atkritumu rašanās novēršanas valsts programmā."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Izstrādājot atkritumu apsaimniekošanas plānus un atkritumu rašanās novēršanas valsts programmu, Klimata un enerģētikas ministrija vai pašvaldības, ja nepieciešams, sadarbojas ar citām Eiropas Savienības dalībvalstīm vai Eiropas Komisiju."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informatīvās atsauces uz Eiropas Savienības direktīvām 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Eiropas Parlamenta un Padomes 2018. gada 3. maija Direktīvas 2018/851/ES, ar ko groza Direktīvu 2008/98 par atkritumiem;".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informatīvo atsauci uz Eiropas Savienības direktīvām ar 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Eiropas Parlamenta un Padomes 2025.gada 10.septembra Direktīvas 2025/1892/ES, ar ko groza Direktīvu 2008/98 par atkritumiem."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26-TA-500</w:t>
    </w:r>
    <w:r>
      <w:br/>
    </w:r>
    <w:r w:rsidR="00000000" w:rsidRPr="00000000" w:rsidDel="00000000">
      <w:rPr>
        <w:rtl w:val="0"/>
      </w:rPr>
      <w:t xml:space="preserve">Izdrukāts 15.10.2026. 22.18 - 2.0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26-TA-500</w:t>
    </w:r>
    <w:r>
      <w:br/>
    </w:r>
    <w:r w:rsidR="00000000" w:rsidRPr="00000000" w:rsidDel="00000000">
      <w:rPr>
        <w:rtl w:val="0"/>
      </w:rPr>
      <w:t xml:space="preserve">Izdrukāts 15.10.2026. 22.18 - 2.0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noteikumu_(grozījumu)_projekts_26-TA-500.docx</dc:title>
</cp:coreProperties>
</file>

<file path=docProps/custom.xml><?xml version="1.0" encoding="utf-8"?>
<Properties xmlns="http://schemas.openxmlformats.org/officeDocument/2006/custom-properties" xmlns:vt="http://schemas.openxmlformats.org/officeDocument/2006/docPropsVTypes"/>
</file>