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19.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727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Primārās veselības aprūpes finansējuma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 Varakļānu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2,915427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par personu skaitu vecuma grupās, apmeklējumu skaitu pie ģimenes ārsta katrā vecuma grupā un ģimenes ārsta sniegto attālināto konsultāciju skaitu katrā vecuma grupā 12 mēnešu laikā (laikposmā no 1. septembra līdz 31. augustam),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 </w:t>
      </w:r>
      <w:r w:rsidR="00000000" w:rsidRPr="00000000" w:rsidDel="00000000">
        <w:rPr>
          <w:rtl w:val="0"/>
        </w:rPr>
        <w:t xml:space="preserve">Dienests reizi gadā līdz kārtējā gada 1. maijam izmaksā ģimenes ārsta praksei maksājumu par praksē nodarbināto ārstniecības personu aizvietošanas nodrošināšanu attaisnotas prombūtnes laikā. Minētais maksājums ir 1/12 daļa no praksei plānotās kapitācijas naudas attiecīgajam gadam, izņemot šādus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ja prakse primārās veselības aprūpes pakalpojumus sniedz pilnu kalendāra gadu, bet vismaz vienu mēnesi attiecīgajā gadā saņem fiksētu maksājumu kā jaunatvērta ģimenes ārsta prakse – maksājums par aizvietošanas nodrošināšanu ir 1/12 daļa no valsts plānotās kapitācijas naudas vidēji uz vienu praksi attiecīgajam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ja prakse primārās veselības aprūpes pakalpojumus sniedz mazāk par sešiem mēnešiem kalendāra gada laikā – maksājumu par aizvietošanas nodrošināšanu samazina un aprēķina proporcionāli mēnešu skaitam, kuros prakse sniedz primārās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Ikmēneša fiksētais maksājums ģimenes ārsta praksei, tai skaitā riska maksājums, ir </w:t>
      </w:r>
      <w:r w:rsidR="00000000" w:rsidRPr="00000000" w:rsidDel="00000000">
        <w:rPr>
          <w:shd w:fill="#ffffff" w:val="clear"/>
          <w:rtl w:val="0"/>
        </w:rPr>
        <w:t xml:space="preserve">1 000,00 </w:t>
      </w:r>
      <w:r w:rsidR="00000000" w:rsidRPr="00000000" w:rsidDel="00000000">
        <w:rPr>
          <w:i w:val="1"/>
          <w:shd w:fill="#ffffff" w:val="clear"/>
          <w:rtl w:val="0"/>
        </w:rPr>
        <w:t xml:space="preserve">euro</w:t>
      </w:r>
      <w:r w:rsidR="00000000" w:rsidRPr="00000000" w:rsidDel="00000000">
        <w:rPr>
          <w:rtl w:val="0"/>
        </w:rPr>
        <w:t xml:space="preserve"> mēnesī. Minēto maksājumu saņem visas ģimenes ārstu prakses, kas atbilstoši līgumam ar dienestu saņem kapitācijas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Ikmēneša fiksētais maksājums par ģimenes ārsta prakses otro un katru nākamo pieņemšanas vietu ir 4</w:t>
      </w:r>
      <w:r w:rsidR="00000000" w:rsidRPr="00000000" w:rsidDel="00000000">
        <w:rPr>
          <w:shd w:fill="#ffffff" w:val="clear"/>
          <w:rtl w:val="0"/>
        </w:rPr>
        <w:t xml:space="preserve">00,00 </w:t>
      </w:r>
      <w:r w:rsidR="00000000" w:rsidRPr="00000000" w:rsidDel="00000000">
        <w:rPr>
          <w:i w:val="1"/>
          <w:shd w:fill="#ffffff" w:val="clear"/>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tajā pašā teritoriālajā vienībā, ja tās nepieciešamību pēc saskaņošanas ar pašvaldību (prakse ir akceptēta ar pašvaldību saskaņotā primārās veselības aprūpes plānā) ir noteicis dienests un tā atbilst šā pielikuma 9.3., 9.4. un 9.5.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Maksājums par primārās veselības aprūpes pakalpojumu nodrošināšanu, tai skaitā riska maksājums, šo noteikumu 19. punktā minētajā gadījumā ir 400,00 </w:t>
      </w:r>
      <w:r w:rsidR="00000000" w:rsidRPr="00000000" w:rsidDel="00000000">
        <w:rPr>
          <w:i w:val="1"/>
          <w:rtl w:val="0"/>
        </w:rPr>
        <w:t xml:space="preserve">euro</w:t>
      </w:r>
      <w:r w:rsidR="00000000" w:rsidRPr="00000000" w:rsidDel="00000000">
        <w:rPr>
          <w:rtl w:val="0"/>
        </w:rPr>
        <w:t xml:space="preserve"> mēnesī.</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Ģimenes ārsta praksei maksā ikmēneša fiksēto piemaksu par prakses un personāla darbības nodrošināšanu lauku teritorijā atkarībā no pamatteritorijas iedzīvotāju blīvuma un reģistrēto pacientu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teritorija ar blīvumu virs 500 iedzīvotājiem uz kvadrātkilometru – piemaksas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teritorija ar blīvumu no 100 līdz 499 iedzīvotājiem uz kvadrātkilometru – 182,00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0,07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teritorija ar blīvumu no 20 līdz 99 iedzīvotājiem uz kvadrātkilometru – 268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teritorija ar blīvumu zem 20 iedzīvotājiem uz kvadrātkilometru – 361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0,14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dienests par katru reģistrēto pacientu papildus aprēķina šā pielikuma 11.2., 11.3. un 11.4. apakšpunktā noteikto reģistrēto pacientu piemaksu, ja ģimenes ārsta prakse saņem māsas un ārsta palīga (feldšera) darbības nodrošināšanas maksājumu divkāršā apmērā atbilstoši šā pielikuma 25.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Dienests ģimenes ārsta prakses ikmēneša fiksēto piemaksu par prakses darbības nodrošināšanu lauku teritorijā atkarībā no pamatteritorijas iedzīvotāju blīvuma un reģistrēto pacientu skaita nosaka vienu reizi kalendāra gadā, aprēķinā izmantojot datus par reģistrēto pacientu skaitu uz iepriekšējā kalendāra gada 1. decembri,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ja pie ģimenes ārsta prakses reģistrēto pacientu skaits pieaudzis vairāk nekā par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Ģimenes ārsta praksei maksā ikmēneša fiksētās piemaksas par hronisko slimnieku aprūpi šādā apmērā: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ārsta prakse saņem šā pielikuma 15. punktā minētās piemaksas tikai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Ģimenes ārsts saņem maksājumu 250,00 </w:t>
      </w:r>
      <w:r w:rsidR="00000000" w:rsidRPr="00000000" w:rsidDel="00000000">
        <w:rPr>
          <w:i w:val="1"/>
          <w:rtl w:val="0"/>
        </w:rPr>
        <w:t xml:space="preserve">euro</w:t>
      </w:r>
      <w:r w:rsidR="00000000" w:rsidRPr="00000000" w:rsidDel="00000000">
        <w:rPr>
          <w:rtl w:val="0"/>
        </w:rPr>
        <w:t xml:space="preserve"> apmērā par ģimenes ārsta pacientu sarakstā reģistrētajai personai laikus atklātu vēzi 1. vai 2. stadijā, ja šāda vēža stadija ir diagnozes noteikšanas datumā. Minēto maksājumu ģimenes ārsta praksei dienests izmaksā reizi gadā līdz 1. septembrim,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19.Šā pielikuma 18. punktā noteiktos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Šā pielikuma 20. punktā noteiktos maksājumus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153.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par 800 bērnu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ja, aprēķinot māsas un ārsta palīga darbības nodrošināšanas maksājumu atbilstoši šā pielikuma 22.1. un 22.2.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ģimenes ārsta praksē reģistrēto pacientu skaitu (N) dala ar šā pielikuma 22.1. apakšpunktā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pielikuma 22.2. apakšpunktā noteikto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Dienests veic maksājumu par papildu darbinieka nodarbināšanu ģimenes ārsta praksē, kuru veido šo noteikumu 153.3. apakšpunktā minētā vidējā darba samaksa mēnesī un valsts sociālās apdrošināšanas obligātās iemaksas, ja ģimenes ārsta prakse ir vērsusies dienestā ar iesniegumu par maksājuma piešķiršanu un atbilst vienam no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 ģimenes ārsta praksē iesnieguma iesniegšanas brīdī ir reģistrēti vismaz 1800 pacientu;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ģimenes ārsta prakse iesnieguma iesniegšanas brīdī saņem ikmēneša fiksēto piemaksu atbilstoši šī pielikuma 11.punktam un praksē ir reģistrēti vismaz 1500 pacientu;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 iesnieguma iesniegšanas brīdī ģimenes ārsta praksē reģistrēto pacientu skaits ir no 1500 līdz 1800 un praksē nodarbināta viena māsa vai ārsta palīgs (feldšeris).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Ģimenes ārsta prakse nodrošina, ka šī pielikuma 29. punktā minētais papildu darbinieks ne vēlāk kā divu mēnešu laikā no līguma ar dienestu noslēgšanas dienas ir reģistrēts ārstniecības personu un ārstniecības atbalsta personu reģistrā kā ārstniecības iestādes klientu un pacientu reģistrators. Šis nosacījums neattiecas uz gadījumiem, ja kā papildu darbinieks tiek nodarbināta ārstniecības persona.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maksājumu par ģimenes ārsta prakses telpu uzturēšanu atbilstoši šā pielikuma 8.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 finansējuma apmēru samaksai par zobārstniecības pakalpojumiem Černobiļas atomelektrostacijas avārijas seku likvidēšanas dalībniekiem un Černobiļas atomelektrostacijas avārijas rezultātā cietušajām personām (turpmāk – dalībnieki) (Lč</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34.2.1. aprēķina finansējuma apmēru samaksai par dalībniekiem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Nepieciešamo finansējuma apmēru tiem pakalpojumu sniedzējiem, ar kuriem iepriekšējā periodā nebija noslēgts līgums par veselības aprūpes pakalpojumu samaksu, plāno, ņemot vērā pakalpojumu sniedzēja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 citus veselības aprūpes pakalpojumus, dienests finanšu līdzekļus ārstniecības iestādēm plāno atbilstoši iedzīvotāju skaitam attiecīgajā novadā,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39.2.1. medikamentu ievadīšanai, ādas bojājumu aprūpei, urīna ilgkatetra maiņai un aprūpei, mākslīgās atveres (stomas) aprūpei, tai skaitā tuvinieku izglītošanai un apmācībai, kā arī enterālai barošanai caur zondi finanšu līdzekļus plāno – 4,44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39.2.2. rehabilitācijas pakalpojumiem finanšu līdzekļus plāno – 0,68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Dienests līgumā ar ārstniecības iestādi, kas sniedz veselības aprūpi mājās, norāda šā pielikuma 39.2. apakšpunktā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Finanšu līdzekļus, kas iegūti, šā pielikuma 41. punktā noteiktajā kārtībā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noteikumu_(grozījumu)_projekts_p7_24-TA-1255.docx</dc:title>
</cp:coreProperties>
</file>

<file path=docProps/custom.xml><?xml version="1.0" encoding="utf-8"?>
<Properties xmlns="http://schemas.openxmlformats.org/officeDocument/2006/custom-properties" xmlns:vt="http://schemas.openxmlformats.org/officeDocument/2006/docPropsVTypes"/>
</file>