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ļaundabīgo audzēju primāras un sekundāras diagnostikas ietvaros veiktajiem laboratoriskajiem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izmeklējumiem mutāciju noteikšanai audzēju šūnās;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izmeklējumiem saistībā ar transplantācijas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reto slimību laboratoriskās diagnostikas izmeklējumiem;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laboratoriskajiem izmeklējumiem pacientiem ar ļaundabīgo audzēju;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laboratoriskajiem pakalpojumiem uzņemšanas nodaļā;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pārējiem ambulatorajiem laboratoriskajiem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laboratoriskajiem pakalpojumiem, kas pirmajā pusgadā sniegti pacientiem ar pamata diagnozēm C00–D48 vai E10–E14 (saskaņā ar SSK-10) un ģimenes ārsta nosūtījumu.</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4. pielikuma 5.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laikposmu no 1. janvāra līdz 30. jūnijam) un līdz 1. februārim (par laikposmu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noteikumu_(grozījumu)_projekts_p8_24-TA-1255.docx</dc:title>
</cp:coreProperties>
</file>

<file path=docProps/custom.xml><?xml version="1.0" encoding="utf-8"?>
<Properties xmlns="http://schemas.openxmlformats.org/officeDocument/2006/custom-properties" xmlns:vt="http://schemas.openxmlformats.org/officeDocument/2006/docPropsVTypes"/>
</file>