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Notariāta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(Latvijas Republikas Saeimas un Ministru Kabineta Ziņotājs, 1996, 15. nr.; 2002, 23. nr.; 2003, 14. nr.; 2004, 23. nr.; 2008, 3. nr.; 2009, 3. nr.; Latvijas Vēstnesis, 2010, 183. nr.; 2013, 21., 112. nr.; 2014, 98., 228. nr.; 2015, 245. nr.; 2017, 231. nr.; 2018, 57., 220., 225. nr.; 2019, 240. nr.; 2021, 121. B, 139., 207. nr.; 2023, 178. nr.; 2024, 14.A, 38. nr.; 2024, 67.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107.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pirmās daļas 3. punktu aiz vārda "maksājumiem" ar vārdiem "bērna aizgādību un saskarsmes tiesībām";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otro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"Notariālais izpildu akts: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kurā noteikts personas pienākums atbrīvot nomāto, īrēto vai patapināto īpašumu, izpildāms Civilprocesa likuma 74.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nodaļā paredzētajā kārtībā;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par bērna aizgādību izpildāms Civilprocesa likuma 74.</w:t>
      </w:r>
      <w:r w:rsidR="00000000" w:rsidRPr="00000000" w:rsidDel="00000000">
        <w:rPr>
          <w:vertAlign w:val="superscript"/>
          <w:rtl w:val="0"/>
        </w:rPr>
        <w:t xml:space="preserve">4 </w:t>
      </w:r>
      <w:r w:rsidR="00000000" w:rsidRPr="00000000" w:rsidDel="00000000">
        <w:rPr>
          <w:rtl w:val="0"/>
        </w:rPr>
        <w:t xml:space="preserve">nodaļā paredzētajā kārtībā;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par saskarsmes tiesībām izpildāms Civilprocesa likuma 74.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 nodaļā paredzētajā kārtībā."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 107.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 pantu ar 3</w:t>
      </w:r>
      <w:r w:rsidR="00000000" w:rsidRPr="00000000" w:rsidDel="00000000">
        <w:rPr>
          <w:vertAlign w:val="superscript"/>
          <w:rtl w:val="0"/>
        </w:rPr>
        <w:t xml:space="preserve">2 </w:t>
      </w:r>
      <w:r w:rsidR="00000000" w:rsidRPr="00000000" w:rsidDel="00000000">
        <w:rPr>
          <w:rtl w:val="0"/>
        </w:rPr>
        <w:t xml:space="preserve">)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) aktā skaidri noteikta saskarsmes izmantošanas kārtība, laiks un vieta, pienākumi un izdevumu sadale starp pusēm saskarsmes tiesību īstenošanai;"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 107.</w:t>
      </w:r>
      <w:r w:rsidR="00000000" w:rsidRPr="00000000" w:rsidDel="00000000">
        <w:rPr>
          <w:vertAlign w:val="superscript"/>
          <w:rtl w:val="0"/>
        </w:rPr>
        <w:t xml:space="preserve">7</w:t>
      </w:r>
      <w:r w:rsidR="00000000" w:rsidRPr="00000000" w:rsidDel="00000000">
        <w:rPr>
          <w:rtl w:val="0"/>
        </w:rPr>
        <w:t xml:space="preserve"> panta pirmās daļas 2. punktu aiz vārda "pamatsummas" ar vārdiem "bet attiecībā uz saskarsmes tiesībām arī 107.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 panta 3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). punktā minēto informāciju".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 107.</w:t>
      </w:r>
      <w:r w:rsidR="00000000" w:rsidRPr="00000000" w:rsidDel="00000000">
        <w:rPr>
          <w:vertAlign w:val="superscript"/>
          <w:rtl w:val="0"/>
        </w:rPr>
        <w:t xml:space="preserve">9</w:t>
      </w:r>
      <w:r w:rsidR="00000000" w:rsidRPr="00000000" w:rsidDel="00000000">
        <w:rPr>
          <w:rtl w:val="0"/>
        </w:rPr>
        <w:t xml:space="preserve"> pantu ar otro teikumu šādā redakcijā: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"Šajā pantā noteiktais nav piemērojams bērna aizgādībai un saskarsmes tiesībām."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325. pantu ar otro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"Vienošanās par bērna aizgādību, saskarsmes tiesībām un bērna uzturlīdzekļiem apliecina notariālā akta formā, paredzot saistību izpildi Notariāta likuma D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sadaļā noteiktajā kārtībā."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329.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pirmās daļas 4. punktu aiz vārda "izmantošanu" ar vārdiem "norādot saskarsmes izmantošanas kārtību, laiku un vietu, pienākumus un izdevumu sadali starp pusēm saskarsmes tiesību īstenošanai,";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trešo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"Ja laulātajiem ir kopīga manta, iesniegumam par laulības šķiršanu pievieno rakstveida vienošanos par mantas sadali.".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2026.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25-TA-810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25-TA-810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