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19 233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18 771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14 707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6 794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iestādi, kas saņem fiksēto maksājumu par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iestādi, kas saņem šajā pielikumā noteikto maksājumu par diabētiskās pēdas aprūpes kabinetu vai par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šī pielikuma 2.23.apakšpunktā minētais maksājums. Ja kabinetā nodarbināto funkcionālo speciālistu, psihologu, psihoterapeitu, narkologu vai psihiatru slodžu skaits ir mazāks par vienu slodzi, tad šī pielikuma 2.23.apakšpunktā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šī kabineta uzskaitē iekļautas līdz 18 gadu vecumam, un šīm personām ir tiesības saņemt tādus veselības aprūpes pakalpojumus kā kabineta uzskaitē esošajiem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noteikumu_konsolidētā_versija_p10_24-TA-396.docx</dc:title>
</cp:coreProperties>
</file>

<file path=docProps/custom.xml><?xml version="1.0" encoding="utf-8"?>
<Properties xmlns="http://schemas.openxmlformats.org/officeDocument/2006/custom-properties" xmlns:vt="http://schemas.openxmlformats.org/officeDocument/2006/docPropsVTypes"/>
</file>