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Ģimenes ārsta gada darbības novērtēšanas un maksājuma sadales metodika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ārstam nosaka gada darbības rādītājus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veselības pārbaudes un 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jauna reģistrēta pacienta veselības stāvokļa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vakcinācijas aptvere;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pacientu aprūpe, kuriem ir hroniskas saslimšanas: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cukura diabēta pacientu 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glikohemoglobīna mērījumi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mikroalbuminūrijas noteikšana kvantitatīvi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arteriālās hipertensijas un koronāro sirds slimību pacientu aprūpe – ZBL holesterīna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bronhiālās astmas pacientu aprūpe – izelpas maksimuma plūsmas mērīšana bronhiālās astmas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ārstu veikto manipulāciju un papildu pakalpojumu daudzveidība.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Gada darbības rādītāju vērtēšanas kritēriji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664"/>
        <w:gridCol w:w="1952"/>
        <w:gridCol w:w="2431"/>
        <w:gridCol w:w="1185"/>
        <w:gridCol w:w="1185"/>
        <w:tblGridChange w:id="0">
          <w:tblGrid>
            <w:gridCol w:w="802"/>
            <w:gridCol w:w="1664"/>
            <w:gridCol w:w="1952"/>
            <w:gridCol w:w="2431"/>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definējums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Izpildes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Nozīmīguma vērtējums,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pārbaudes un profilakse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jauna reģistrēta pacienta veselības stāvokļa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ir novērtējis no jauna reģistrētu pacientu triju mēnešu laikā, kopš pacients reģistrēts pie ģimenes ārsta, vai 10 dienu laikā pirms pacienta reģistrācijas viņam ir veikta apskate un veselības stāvokļa novērtējums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Bērnu vakcinācijas aptvere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Divus gadus veci bērni saskaņā ar vakcinācijas kalendāru ir vakcinēti pret difteriju, stinguma krampjiem, poliomielītu, garo klepu, b tipa </w:t>
            </w:r>
            <w:r w:rsidR="00000000" w:rsidRPr="00000000" w:rsidDel="00000000">
              <w:rPr>
                <w:i w:val="1"/>
                <w:rtl w:val="0"/>
              </w:rPr>
              <w:t xml:space="preserve">Haemophilus influenzae</w:t>
            </w:r>
            <w:r w:rsidR="00000000" w:rsidRPr="00000000" w:rsidDel="00000000">
              <w:rPr>
                <w:rtl w:val="0"/>
              </w:rPr>
              <w:t xml:space="preserve"> infekciju un B hepatītu.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Aprēķinot vakcinācijas aptveri, izslēdz gadījumus, ja vakcinācija nav veikta kontrindikāciju, pacienta vai vecāku atteikuma dēļ. Šādos gadījumos ambulatorā pacienta talonā norāda diagnozi Z28.0–Z28.8</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92–98 %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aprūpe ar hroniskām saslimšanām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glikohemoglobīna (glikētā Hb) mērījumus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vērtēšanas perioda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55 % pie ģimenes ārsta reģistrēto 2. tipa cukura diabēta pacientu ir noteikts glikohemoglobīns (glikētais Hb).</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Aptveres rādītāju aprēķina, attiecinot pacientu skaitu, kuriem vismaz viens mērījums ir zemāks par 7,5 %, pret pacientu skaitu, kas atbilst šā punkta trešajam nosacījumam.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Aprēķinātais aptveres rādītājs ir vismaz 60 %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mikroalbuminūrijas noteikšanu kvantitatīvi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50 % pacientu gada laikā veikts viens izmeklējums mikroalbuminūrijas noteikšanai, neskaitot izmeklējumus, kas veikti ārstēšanās laikā stacionārā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Arteriālās hipertensijas un koronārās sirds slimības pacientu aprūpe – zema blīvuma holesterīna līmeņa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70 % pie ģimenes ārsta reģistrēto arteriālās hipertensijas un koronārās sirds slimības pacientu vismaz vienu reizi noteikts ZBL holesterīns.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Norādīta kāda no šādām manipulācijām "41058 – ZBL holesterīna līmenis asinīs – koncentrācija, mazāka par 2,0 mmol/L" vai "41059 – ZBL holesterīna līmenis asinīs – koncentrācija no 2,0 mmol/L līdz 2,5 mmol/L", vai "41060 – ZBL holesterīna līmenis asinīs – koncentrācija, lielāka par 2,5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Norādītas diagnozes saskaņā ar SSK-10 kodiem arteriālajai hipertensijai – I10, I15, I15.0–I15.9, koronārajai sirds slimībai – I20, I20.0–I20.9, I21, I21.0–I21.9, I22, I22.0–I22.9, I24, I24.0–I24.9, I25, I25.0–I25.9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Bronhiālās astmas pacientu veselības aprūpe – izelpas maksimuma plūsmas mērīšana bronhiālās astmas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Bronhiālās astmas pacienti vecumā no sešiem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Vismaz 70 % pacientu veikta izelpas maksimuma plūsmas mērīšana vismaz reizi gadā.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 diagnoze ar SSK-10 kodu J45, J45.0–J45.9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ārsta veikto papildu manipulāciju un papildu pakalpojumu daudzveidība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savā darbībā izmanto iespējami daudz manipulāciju, kuras ietilpst viņa profesionālajā kompetencē un manipulāciju sarakstā norādītas kā ģimenes ārstam piemaksājamas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laikā izmanto vismaz 25 % manipulāciju no tām, kas manipulāciju sarakstā norādītas kā tādas, par kurām ģimenes ārstam piemaksā, izņemot profilaktiskās apskates un vakcinācijas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r w:rsidR="00000000" w:rsidRPr="00000000" w:rsidDel="00000000">
              <w:rPr>
                <w:b w:val="1"/>
                <w:rtl w:val="0"/>
              </w:rPr>
              <w:t xml:space="preserve">–</w:t>
            </w:r>
            <w:r w:rsidR="00000000" w:rsidRPr="00000000" w:rsidDel="00000000">
              <w:rPr>
                <w:rtl w:val="0"/>
              </w:rPr>
              <w:t xml:space="preserve">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Dienests apkopo vadības informācijas sistēmā ievadīto informāciju par katram pacientam novērtējamā gada laikā sniegtajiem veselības aprūpes pakalpojumiem un katram ģimenes ārstam nosaka šā pielikuma 1. punktā minētos kvalitātes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Iegūtos rādītājus salīdzina ar šā pielikuma 2. punktā noteiktajiem vērtēšanas kritērijiem un aprēķina ģimenes ārstam izmaksājamo naudas summu par kvalitātes rādītājiem,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aprēķinātie rādītāji ir vienādi vai pārsniedz noteikto vērtēšanas kritērija augstāko robežvērtību, ārsts saņem atbilstošajam kvalitātes rādītājam aprēķinātā gada darbības novērtējuma maksājumu 100 %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aprēķinātie rādītāji ir robežvērtību intervālā no noteiktajiem vērtēšanas kritērijiem, atbilstošajam kvalitātes rādītājam aprēķināto gada darbības novērtējuma maksājuma apjomu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aprēķinātie rādītāji ir zemāki par zemāko robežvērtību no noteiktajiem vērtēšanas kritērijiem, atbilstošajam kvalitātes rādītājam aprēķināto maksājuma apjomu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ģimenes ārsta praksē nav reģistrētas personas, kas atbilst vērtēšanas kritērijā noteiktajam pacientu veidam, maksājumu par attiecīgo kvalitātes kritēriju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ja ģimenes ārsta pacientu sarakstā ir persona, kuras reģistrācija ir bloķēta, tad šāda persona kvalitātes rādītāju aprēķinos netiek vērtēta.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vai ģimenes ārstu novērtējamā gada laikā ir aizvietojis cits ārsts, dienests nevērtē ģimenes ārsta gada darbību atbilstoši šā pielikuma 4.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ģimenes ārsta gada darbības novērtējuma maksājumu ģimenes ārstam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attiecīgajam ģimenes ārstam izmaksājamais ģimenes ārsta gada darbības novērtējuma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ģimenes ārsta gada darbības novērtējuma maksājuma summa par pilniem nostrādātajiem mēnešiem attiecīgajā teritoriālajā nodaļā, ievērojot, ka periodā, kad ģimenes ārsts saņem normatīvajos aktos paredzēto fiksēto maksājumu jaunatvērtai ģimenes ārsta praksei un nesaņem kapitācijas naudu, B =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vidējais ģimenes ārsta gada darbības novērtējuma maksājuma procents attiecīgās teritoriālās nodaļas ģimenes ārsta praksē, ko dienests aprēķina, dalot teritoriālās nodaļas ģimenes ārsta praksēm izmaksājamos ģimenes ārsta gada darbības novērtējuma maksājumus ar attiecīgajām ģimenes ārsta praksēm aprēķinātajiem ģimenes ārsta gada darbības novērtējuma maksājuma līdzekļiem un reizinot ar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ģimenes ārstu novērtējamā gada laikā ir aizvietojis cits ārsts, ģimenes ārsta gada darbības novērtējuma maksājumu ģimenes ārstam un viņa aizvietotājam aprēķina,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ģimenes ārstam, kurš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 = BAP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BAP – aizvietojamā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ģimenes ārsta gada darbības novērtējuma maksājuma procents aizvietojamā ģimenes ārsta praksē, ko aprēķina, dalot izmaksājamo ģimenes ārsta gada darbības novērtējuma maksājumu par visu aizvietojamā ģimenes ārsta pacientu veselības aprūpi novērtējamā gada laikā (A) ar aprēķināto ģimenes ārsta gada darbības novērtējuma maksājumu aizvietojamajam ģimenes ārstam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ģimenes ārstam, kuru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BB = A – BA,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BB – aizvietojamā ģimenes ārsta izmaksājamais ģimenes ārsta gada darbības novērtējuma maksājums par nostrādātajiem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izmaksājamais ģimenes ārsta gada darbības novērtējuma maksājums par visu aizvietojamā ģimenes ārsta pacientu veselības aprūpi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notikusi ģimenes ārsta juridiskā statusa un darbavietas maiņa, pārejot no darba ņēmēja statusa slimnīcā (poliklīnikā, doktorātā) (turpmāk – ārstniecības iestāde) uz ārsta prakses darba formu vai otrādi, ģimenes ārsta gada darbības novērtējuma maksājumu izmaksā, ja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attiecīgajam ģimenes ārstam, ja pāreja no darba ņēmēja statusa ārstniecības iestādē uz ģimenes ārsta prakses formu notikusi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attiecīgajam ģimenes ārstam, ieskaitot ģimenes ārsta gada darbības novērtējuma maksājumu ārstniecības iestādes kontā, ja ģimenes ārsts novērtējamā gada laikā ir beidzis prakses darbību un kļuvis par darba ņēmēju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attiecīgajam ģimenes ārstam, ieskaitot ģimenes ārsta gada darbības novērtējuma maksājumu tās ārstniecības iestādes kontā, kurā ģimenes ārsts bija darba ņēmējs, ja pāreja no darba ņēmēja statusa ārstniecības iestādē uz ģimenes ārsta prakses formu notikusi pēc novērtējamā gada 31. decembra.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Izmaksājamos ģimenes ārsta gada darbības novērtējuma līdzekļus aprēķina pēc stāvokļa uz novērtējamā gada 31. decembri. Izmaksājamos līdzekļus ģimenes ārstam izmaksā līdz nākamā gada 1. septembrim neatkarīgi no novērtējamā gada laikā notikušās ģimenes ārsta juridiskā statusa un darba vietas maiņas (pāreja no darba ņēmēja statusa ārstniecības iestādē uz ārsta prakses darba formu vai otrādi), ja vien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Finanšu līdzekļu apmēru, kas paredzēts ģimenes ārstu gada darbības novērtējuma maksājumiem, un kārtību, kādā tos aprēķina un izmaksā katrai ģimenes ārsta praksei, nosaka līgumā ar dienestu.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noteikumu_konsolidētā_versija_p15_24-TA-396.docx</dc:title>
</cp:coreProperties>
</file>

<file path=docProps/custom.xml><?xml version="1.0" encoding="utf-8"?>
<Properties xmlns="http://schemas.openxmlformats.org/officeDocument/2006/custom-properties" xmlns:vt="http://schemas.openxmlformats.org/officeDocument/2006/docPropsVTypes"/>
</file>