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1EE46" w14:textId="787BA9A7" w:rsidR="00FD3910" w:rsidRPr="00CA72E5" w:rsidRDefault="00FD3910" w:rsidP="00FD3910">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CA72E5">
        <w:rPr>
          <w:rFonts w:ascii="Times New Roman" w:eastAsia="Times New Roman" w:hAnsi="Times New Roman"/>
          <w:color w:val="333333"/>
          <w:sz w:val="28"/>
          <w:lang w:eastAsia="en-GB"/>
        </w:rPr>
        <w:t xml:space="preserve">4. pielikums </w:t>
      </w:r>
    </w:p>
    <w:p w14:paraId="789EA9C0" w14:textId="77777777" w:rsidR="00FD3910" w:rsidRPr="00CA72E5" w:rsidRDefault="00FD3910" w:rsidP="00FD3910">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CA72E5">
        <w:rPr>
          <w:rFonts w:ascii="Times New Roman" w:eastAsia="Times New Roman" w:hAnsi="Times New Roman"/>
          <w:color w:val="333333"/>
          <w:sz w:val="28"/>
          <w:lang w:eastAsia="en-GB"/>
        </w:rPr>
        <w:t xml:space="preserve">Ministru kabineta </w:t>
      </w:r>
    </w:p>
    <w:p w14:paraId="79E31F09" w14:textId="77777777" w:rsidR="00FD3910" w:rsidRPr="00CA72E5" w:rsidRDefault="00FD3910" w:rsidP="00FD3910">
      <w:pPr>
        <w:spacing w:after="0" w:line="240" w:lineRule="auto"/>
        <w:jc w:val="right"/>
        <w:rPr>
          <w:rFonts w:ascii="Times New Roman" w:eastAsia="Times New Roman" w:hAnsi="Times New Roman"/>
          <w:color w:val="333333"/>
          <w:sz w:val="28"/>
          <w:lang w:eastAsia="en-GB"/>
        </w:rPr>
      </w:pPr>
      <w:r w:rsidRPr="00CA72E5">
        <w:rPr>
          <w:rFonts w:ascii="Times New Roman" w:eastAsia="Times New Roman" w:hAnsi="Times New Roman"/>
          <w:color w:val="333333"/>
          <w:sz w:val="28"/>
          <w:lang w:eastAsia="en-GB"/>
        </w:rPr>
        <w:t>2025. gada 2. decembra</w:t>
      </w:r>
    </w:p>
    <w:p w14:paraId="192A98E1" w14:textId="77777777" w:rsidR="00FD3910" w:rsidRPr="00CA72E5" w:rsidRDefault="00FD3910" w:rsidP="00FD3910">
      <w:pPr>
        <w:spacing w:after="0" w:line="240" w:lineRule="auto"/>
        <w:jc w:val="right"/>
        <w:rPr>
          <w:rFonts w:ascii="Times New Roman" w:eastAsia="Times New Roman" w:hAnsi="Times New Roman" w:cs="Times New Roman"/>
          <w:color w:val="333333"/>
          <w:sz w:val="28"/>
          <w:szCs w:val="28"/>
          <w:lang w:eastAsia="en-GB"/>
        </w:rPr>
      </w:pPr>
      <w:r w:rsidRPr="00CA72E5">
        <w:rPr>
          <w:rFonts w:ascii="Times New Roman" w:eastAsia="Times New Roman" w:hAnsi="Times New Roman"/>
          <w:sz w:val="28"/>
          <w:lang w:eastAsia="en-GB"/>
        </w:rPr>
        <w:t xml:space="preserve">noteikumiem </w:t>
      </w:r>
      <w:r w:rsidRPr="00CA72E5">
        <w:rPr>
          <w:rFonts w:ascii="Times New Roman" w:eastAsia="Times New Roman" w:hAnsi="Times New Roman"/>
          <w:color w:val="333333"/>
          <w:sz w:val="28"/>
          <w:lang w:eastAsia="en-GB"/>
        </w:rPr>
        <w:t xml:space="preserve">Nr. </w:t>
      </w:r>
      <w:r w:rsidRPr="00CA72E5">
        <w:rPr>
          <w:rFonts w:ascii="Times New Roman" w:eastAsia="Times New Roman" w:hAnsi="Times New Roman"/>
          <w:color w:val="333333"/>
          <w:sz w:val="28"/>
          <w:lang w:eastAsia="en-GB"/>
        </w:rPr>
        <w:t>711</w:t>
      </w:r>
    </w:p>
    <w:p w14:paraId="55648CD8" w14:textId="77777777" w:rsidR="00FD3910" w:rsidRPr="00CA72E5" w:rsidRDefault="00FD3910" w:rsidP="00673757">
      <w:pPr>
        <w:overflowPunct w:val="0"/>
        <w:autoSpaceDE w:val="0"/>
        <w:autoSpaceDN w:val="0"/>
        <w:adjustRightInd w:val="0"/>
        <w:spacing w:after="0" w:line="240" w:lineRule="auto"/>
        <w:jc w:val="right"/>
        <w:textAlignment w:val="baseline"/>
        <w:rPr>
          <w:rFonts w:ascii="Times New Roman" w:eastAsia="Times New Roman" w:hAnsi="Times New Roman"/>
          <w:b/>
          <w:bCs/>
          <w:sz w:val="28"/>
          <w:lang w:eastAsia="en-GB"/>
        </w:rPr>
      </w:pPr>
    </w:p>
    <w:p w14:paraId="417A7B5D" w14:textId="11B48525" w:rsidR="00673757" w:rsidRPr="00CA72E5" w:rsidRDefault="00A709EE" w:rsidP="00673757">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CA72E5">
        <w:rPr>
          <w:rFonts w:ascii="Times New Roman" w:eastAsia="Times New Roman" w:hAnsi="Times New Roman"/>
          <w:sz w:val="28"/>
          <w:lang w:eastAsia="en-GB"/>
        </w:rPr>
        <w:t>"</w:t>
      </w:r>
      <w:r w:rsidR="004F13AC" w:rsidRPr="00CA72E5">
        <w:rPr>
          <w:rFonts w:ascii="Times New Roman" w:eastAsia="Times New Roman" w:hAnsi="Times New Roman"/>
          <w:sz w:val="28"/>
          <w:lang w:eastAsia="en-GB"/>
        </w:rPr>
        <w:t>4. </w:t>
      </w:r>
      <w:r w:rsidR="00673757" w:rsidRPr="00CA72E5">
        <w:rPr>
          <w:rFonts w:ascii="Times New Roman" w:eastAsia="Times New Roman" w:hAnsi="Times New Roman"/>
          <w:sz w:val="28"/>
          <w:lang w:eastAsia="en-GB"/>
        </w:rPr>
        <w:t xml:space="preserve">pielikums </w:t>
      </w:r>
    </w:p>
    <w:p w14:paraId="12DB7CD3" w14:textId="77777777" w:rsidR="00673757" w:rsidRPr="00CA72E5" w:rsidRDefault="00673757" w:rsidP="00673757">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CA72E5">
        <w:rPr>
          <w:rFonts w:ascii="Times New Roman" w:eastAsia="Times New Roman" w:hAnsi="Times New Roman"/>
          <w:sz w:val="28"/>
          <w:lang w:eastAsia="en-GB"/>
        </w:rPr>
        <w:t xml:space="preserve">Ministru kabineta </w:t>
      </w:r>
    </w:p>
    <w:p w14:paraId="09505C8F" w14:textId="4B275D6B" w:rsidR="00673757" w:rsidRPr="00CA72E5" w:rsidRDefault="00673757" w:rsidP="00673757">
      <w:pPr>
        <w:spacing w:after="0" w:line="240" w:lineRule="auto"/>
        <w:jc w:val="right"/>
        <w:rPr>
          <w:rFonts w:ascii="Times New Roman" w:eastAsia="Times New Roman" w:hAnsi="Times New Roman"/>
          <w:sz w:val="28"/>
          <w:lang w:eastAsia="en-GB"/>
        </w:rPr>
      </w:pPr>
      <w:r w:rsidRPr="00CA72E5">
        <w:rPr>
          <w:rFonts w:ascii="Times New Roman" w:eastAsia="Times New Roman" w:hAnsi="Times New Roman"/>
          <w:sz w:val="28"/>
          <w:lang w:eastAsia="en-GB"/>
        </w:rPr>
        <w:t>2023</w:t>
      </w:r>
      <w:r w:rsidR="004A6E54" w:rsidRPr="00CA72E5">
        <w:rPr>
          <w:rFonts w:ascii="Times New Roman" w:eastAsia="Times New Roman" w:hAnsi="Times New Roman"/>
          <w:sz w:val="28"/>
          <w:lang w:eastAsia="en-GB"/>
        </w:rPr>
        <w:t xml:space="preserve">. gada </w:t>
      </w:r>
      <w:r w:rsidRPr="00CA72E5">
        <w:rPr>
          <w:rFonts w:ascii="Times New Roman" w:eastAsia="Times New Roman" w:hAnsi="Times New Roman"/>
          <w:sz w:val="28"/>
          <w:lang w:eastAsia="en-GB"/>
        </w:rPr>
        <w:t>10. janvāra</w:t>
      </w:r>
    </w:p>
    <w:p w14:paraId="6AFB8C60" w14:textId="77777777" w:rsidR="00673757" w:rsidRPr="00CA72E5" w:rsidRDefault="00673757" w:rsidP="00673757">
      <w:pPr>
        <w:spacing w:after="0" w:line="240" w:lineRule="auto"/>
        <w:jc w:val="right"/>
        <w:rPr>
          <w:rFonts w:ascii="Times New Roman" w:eastAsia="Times New Roman" w:hAnsi="Times New Roman"/>
          <w:sz w:val="28"/>
          <w:lang w:eastAsia="en-GB"/>
        </w:rPr>
      </w:pPr>
      <w:r w:rsidRPr="00CA72E5">
        <w:rPr>
          <w:rFonts w:ascii="Times New Roman" w:eastAsia="Times New Roman" w:hAnsi="Times New Roman"/>
          <w:sz w:val="28"/>
          <w:lang w:eastAsia="en-GB"/>
        </w:rPr>
        <w:t>noteikumiem Nr. 3</w:t>
      </w:r>
    </w:p>
    <w:p w14:paraId="16C6A46A" w14:textId="289BAA3C" w:rsidR="00AB3600" w:rsidRPr="00CA72E5" w:rsidRDefault="00A71535" w:rsidP="00965AEA">
      <w:pPr>
        <w:spacing w:before="100" w:beforeAutospacing="1" w:after="100" w:afterAutospacing="1" w:line="240" w:lineRule="auto"/>
        <w:ind w:left="357"/>
        <w:jc w:val="center"/>
        <w:rPr>
          <w:rFonts w:ascii="Times New Roman" w:eastAsia="Times New Roman" w:hAnsi="Times New Roman" w:cs="Times New Roman"/>
          <w:b/>
          <w:bCs/>
          <w:sz w:val="28"/>
          <w:szCs w:val="28"/>
          <w:lang w:eastAsia="lv-LV"/>
        </w:rPr>
      </w:pPr>
      <w:r w:rsidRPr="00CA72E5">
        <w:rPr>
          <w:rFonts w:ascii="Times New Roman" w:hAnsi="Times New Roman" w:cs="Times New Roman"/>
          <w:b/>
          <w:bCs/>
          <w:sz w:val="28"/>
          <w:szCs w:val="28"/>
        </w:rPr>
        <w:t xml:space="preserve">Informācija </w:t>
      </w:r>
      <w:r w:rsidR="00A4392B" w:rsidRPr="00CA72E5">
        <w:rPr>
          <w:rFonts w:ascii="Times New Roman" w:hAnsi="Times New Roman" w:cs="Times New Roman"/>
          <w:b/>
          <w:bCs/>
          <w:sz w:val="28"/>
          <w:szCs w:val="28"/>
        </w:rPr>
        <w:t xml:space="preserve">par </w:t>
      </w:r>
      <w:r w:rsidRPr="00CA72E5">
        <w:rPr>
          <w:rFonts w:ascii="Times New Roman" w:hAnsi="Times New Roman" w:cs="Times New Roman"/>
          <w:b/>
          <w:bCs/>
          <w:sz w:val="28"/>
          <w:szCs w:val="28"/>
        </w:rPr>
        <w:t>atbilstīb</w:t>
      </w:r>
      <w:r w:rsidR="004D5D76" w:rsidRPr="00CA72E5">
        <w:rPr>
          <w:rFonts w:ascii="Times New Roman" w:hAnsi="Times New Roman" w:cs="Times New Roman"/>
          <w:b/>
          <w:bCs/>
          <w:sz w:val="28"/>
          <w:szCs w:val="28"/>
        </w:rPr>
        <w:t>u</w:t>
      </w:r>
      <w:r w:rsidRPr="00CA72E5">
        <w:rPr>
          <w:rFonts w:ascii="Times New Roman" w:hAnsi="Times New Roman" w:cs="Times New Roman"/>
          <w:b/>
          <w:bCs/>
          <w:sz w:val="28"/>
          <w:szCs w:val="28"/>
        </w:rPr>
        <w:t xml:space="preserve"> </w:t>
      </w:r>
      <w:r w:rsidR="00AB3600" w:rsidRPr="00CA72E5">
        <w:rPr>
          <w:rFonts w:ascii="Times New Roman" w:hAnsi="Times New Roman" w:cs="Times New Roman"/>
          <w:b/>
          <w:bCs/>
          <w:sz w:val="28"/>
          <w:szCs w:val="28"/>
        </w:rPr>
        <w:t>starptautisk</w:t>
      </w:r>
      <w:r w:rsidR="00F27785" w:rsidRPr="00CA72E5">
        <w:rPr>
          <w:rFonts w:ascii="Times New Roman" w:hAnsi="Times New Roman" w:cs="Times New Roman"/>
          <w:b/>
          <w:bCs/>
          <w:sz w:val="28"/>
          <w:szCs w:val="28"/>
        </w:rPr>
        <w:t>aj</w:t>
      </w:r>
      <w:r w:rsidR="00AB3600" w:rsidRPr="00CA72E5">
        <w:rPr>
          <w:rFonts w:ascii="Times New Roman" w:hAnsi="Times New Roman" w:cs="Times New Roman"/>
          <w:b/>
          <w:bCs/>
          <w:sz w:val="28"/>
          <w:szCs w:val="28"/>
        </w:rPr>
        <w:t>iem radiofrekvenču spektr</w:t>
      </w:r>
      <w:r w:rsidR="00937E24" w:rsidRPr="00CA72E5">
        <w:rPr>
          <w:rFonts w:ascii="Times New Roman" w:hAnsi="Times New Roman" w:cs="Times New Roman"/>
          <w:b/>
          <w:bCs/>
          <w:sz w:val="28"/>
          <w:szCs w:val="28"/>
        </w:rPr>
        <w:t>a</w:t>
      </w:r>
      <w:r w:rsidR="00AB3600" w:rsidRPr="00CA72E5">
        <w:rPr>
          <w:rFonts w:ascii="Times New Roman" w:hAnsi="Times New Roman" w:cs="Times New Roman"/>
          <w:b/>
          <w:bCs/>
          <w:sz w:val="28"/>
          <w:szCs w:val="28"/>
        </w:rPr>
        <w:t xml:space="preserve"> izmantošanas nosacījumiem</w:t>
      </w:r>
    </w:p>
    <w:p w14:paraId="5D9E23D7" w14:textId="77777777" w:rsidR="002B24A1" w:rsidRPr="00CA72E5" w:rsidRDefault="008E0D70" w:rsidP="00965AEA">
      <w:pPr>
        <w:spacing w:before="100" w:beforeAutospacing="1" w:after="100" w:afterAutospacing="1" w:line="240" w:lineRule="auto"/>
        <w:rPr>
          <w:rFonts w:ascii="Times New Roman" w:eastAsia="Times New Roman" w:hAnsi="Times New Roman" w:cs="Times New Roman"/>
          <w:b/>
          <w:bCs/>
          <w:sz w:val="28"/>
          <w:szCs w:val="28"/>
        </w:rPr>
      </w:pPr>
      <w:r w:rsidRPr="00CA72E5">
        <w:rPr>
          <w:rFonts w:ascii="Times New Roman" w:eastAsia="Times New Roman" w:hAnsi="Times New Roman" w:cs="Times New Roman"/>
          <w:b/>
          <w:bCs/>
          <w:sz w:val="28"/>
          <w:szCs w:val="28"/>
          <w:lang w:eastAsia="lv-LV"/>
        </w:rPr>
        <w:t xml:space="preserve">1. </w:t>
      </w:r>
      <w:r w:rsidR="00AA1E28" w:rsidRPr="00CA72E5">
        <w:rPr>
          <w:rFonts w:ascii="Times New Roman" w:eastAsia="Times New Roman" w:hAnsi="Times New Roman" w:cs="Times New Roman"/>
          <w:b/>
          <w:bCs/>
          <w:sz w:val="28"/>
          <w:szCs w:val="28"/>
          <w:lang w:eastAsia="lv-LV"/>
        </w:rPr>
        <w:t>Eiropas Parlamenta un Padomes, Eiropas Komisijas lēmumi</w:t>
      </w:r>
    </w:p>
    <w:tbl>
      <w:tblPr>
        <w:tblStyle w:val="TableGrid"/>
        <w:tblW w:w="9061" w:type="dxa"/>
        <w:tblLook w:val="04A0" w:firstRow="1" w:lastRow="0" w:firstColumn="1" w:lastColumn="0" w:noHBand="0" w:noVBand="1"/>
      </w:tblPr>
      <w:tblGrid>
        <w:gridCol w:w="846"/>
        <w:gridCol w:w="8215"/>
      </w:tblGrid>
      <w:tr w:rsidR="006E14AC" w:rsidRPr="00CA72E5" w14:paraId="17533CE6" w14:textId="77777777" w:rsidTr="1AC23FF7">
        <w:tc>
          <w:tcPr>
            <w:tcW w:w="846" w:type="dxa"/>
            <w:vAlign w:val="center"/>
          </w:tcPr>
          <w:p w14:paraId="16D1C4D4" w14:textId="77777777" w:rsidR="00CB699B" w:rsidRPr="00CA72E5" w:rsidRDefault="00B84D47" w:rsidP="00582F1F">
            <w:pPr>
              <w:spacing w:after="120" w:line="240" w:lineRule="auto"/>
              <w:jc w:val="center"/>
              <w:rPr>
                <w:rFonts w:ascii="Times New Roman" w:eastAsia="Times New Roman" w:hAnsi="Times New Roman" w:cs="Times New Roman"/>
                <w:sz w:val="24"/>
                <w:szCs w:val="24"/>
                <w:lang w:eastAsia="lv-LV"/>
              </w:rPr>
            </w:pPr>
            <w:r w:rsidRPr="00CA72E5">
              <w:rPr>
                <w:rFonts w:ascii="Times New Roman" w:hAnsi="Times New Roman" w:cs="Times New Roman"/>
                <w:sz w:val="24"/>
                <w:szCs w:val="24"/>
              </w:rPr>
              <w:t>Nr. </w:t>
            </w:r>
            <w:r w:rsidRPr="00CA72E5">
              <w:rPr>
                <w:rFonts w:ascii="Times New Roman" w:hAnsi="Times New Roman" w:cs="Times New Roman"/>
                <w:sz w:val="24"/>
                <w:szCs w:val="24"/>
              </w:rPr>
              <w:br/>
              <w:t>p. k.</w:t>
            </w:r>
          </w:p>
        </w:tc>
        <w:tc>
          <w:tcPr>
            <w:tcW w:w="8215" w:type="dxa"/>
            <w:vAlign w:val="center"/>
          </w:tcPr>
          <w:p w14:paraId="0878A4B4" w14:textId="77777777" w:rsidR="00CB699B" w:rsidRPr="00CA72E5" w:rsidRDefault="006568C5" w:rsidP="00582F1F">
            <w:pPr>
              <w:spacing w:after="120" w:line="240" w:lineRule="auto"/>
              <w:jc w:val="center"/>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Nosaukums</w:t>
            </w:r>
          </w:p>
        </w:tc>
      </w:tr>
      <w:tr w:rsidR="006E14AC" w:rsidRPr="00CA72E5" w14:paraId="05A85531" w14:textId="77777777" w:rsidTr="1AC23FF7">
        <w:tc>
          <w:tcPr>
            <w:tcW w:w="846" w:type="dxa"/>
          </w:tcPr>
          <w:p w14:paraId="6F53FD2C"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w:t>
            </w:r>
          </w:p>
        </w:tc>
        <w:tc>
          <w:tcPr>
            <w:tcW w:w="8215" w:type="dxa"/>
          </w:tcPr>
          <w:p w14:paraId="042474FA" w14:textId="0D727F90"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2004</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8</w:t>
            </w:r>
            <w:r w:rsidR="004A6E54" w:rsidRPr="00CA72E5">
              <w:rPr>
                <w:rFonts w:ascii="Times New Roman" w:eastAsia="Times New Roman" w:hAnsi="Times New Roman" w:cs="Times New Roman"/>
                <w:sz w:val="24"/>
                <w:szCs w:val="24"/>
                <w:lang w:eastAsia="lv-LV"/>
              </w:rPr>
              <w:t xml:space="preserve">. jūlija </w:t>
            </w:r>
            <w:r w:rsidRPr="00CA72E5">
              <w:rPr>
                <w:rFonts w:ascii="Times New Roman" w:eastAsia="Times New Roman" w:hAnsi="Times New Roman" w:cs="Times New Roman"/>
                <w:sz w:val="24"/>
                <w:szCs w:val="24"/>
                <w:lang w:eastAsia="lv-LV"/>
              </w:rPr>
              <w:t xml:space="preserve">Lēmums </w:t>
            </w:r>
            <w:hyperlink r:id="rId12" w:history="1">
              <w:r w:rsidRPr="00CA72E5">
                <w:rPr>
                  <w:rFonts w:ascii="Times New Roman" w:eastAsia="Times New Roman" w:hAnsi="Times New Roman" w:cs="Times New Roman"/>
                  <w:sz w:val="24"/>
                  <w:szCs w:val="24"/>
                  <w:lang w:eastAsia="lv-LV"/>
                </w:rPr>
                <w:t>2004/545/EK</w:t>
              </w:r>
            </w:hyperlink>
            <w:r w:rsidRPr="00CA72E5">
              <w:rPr>
                <w:rFonts w:ascii="Times New Roman" w:eastAsia="Times New Roman" w:hAnsi="Times New Roman" w:cs="Times New Roman"/>
                <w:sz w:val="24"/>
                <w:szCs w:val="24"/>
                <w:lang w:eastAsia="lv-LV"/>
              </w:rPr>
              <w:t xml:space="preserve"> par radiofrekvenču spektra saskaņošanu 79 GHz diapazonā automobiļu šaura diapazona radariekārtu izmantošanai Kopienā</w:t>
            </w:r>
          </w:p>
        </w:tc>
      </w:tr>
      <w:tr w:rsidR="006E14AC" w:rsidRPr="00CA72E5" w14:paraId="37B2F5BD" w14:textId="77777777" w:rsidTr="1AC23FF7">
        <w:tc>
          <w:tcPr>
            <w:tcW w:w="846" w:type="dxa"/>
          </w:tcPr>
          <w:p w14:paraId="25D8FF63"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w:t>
            </w:r>
          </w:p>
        </w:tc>
        <w:tc>
          <w:tcPr>
            <w:tcW w:w="8215" w:type="dxa"/>
          </w:tcPr>
          <w:p w14:paraId="10CA307D" w14:textId="01E7DA3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17</w:t>
            </w:r>
            <w:r w:rsidR="004A6E54" w:rsidRPr="00CA72E5">
              <w:rPr>
                <w:rFonts w:ascii="Times New Roman" w:eastAsia="Times New Roman" w:hAnsi="Times New Roman" w:cs="Times New Roman"/>
                <w:sz w:val="24"/>
                <w:szCs w:val="24"/>
                <w:lang w:eastAsia="lv-LV"/>
              </w:rPr>
              <w:t xml:space="preserve">. janvāra </w:t>
            </w:r>
            <w:r w:rsidRPr="00CA72E5">
              <w:rPr>
                <w:rFonts w:ascii="Times New Roman" w:eastAsia="Times New Roman" w:hAnsi="Times New Roman" w:cs="Times New Roman"/>
                <w:sz w:val="24"/>
                <w:szCs w:val="24"/>
                <w:lang w:eastAsia="lv-LV"/>
              </w:rPr>
              <w:t xml:space="preserve">Lēmums </w:t>
            </w:r>
            <w:hyperlink r:id="rId13" w:history="1">
              <w:r w:rsidRPr="00CA72E5">
                <w:rPr>
                  <w:rFonts w:ascii="Times New Roman" w:eastAsia="Times New Roman" w:hAnsi="Times New Roman" w:cs="Times New Roman"/>
                  <w:sz w:val="24"/>
                  <w:szCs w:val="24"/>
                  <w:lang w:eastAsia="lv-LV"/>
                </w:rPr>
                <w:t>2005/50/EK</w:t>
              </w:r>
            </w:hyperlink>
            <w:r w:rsidRPr="00CA72E5">
              <w:rPr>
                <w:rFonts w:ascii="Times New Roman" w:eastAsia="Times New Roman" w:hAnsi="Times New Roman" w:cs="Times New Roman"/>
                <w:sz w:val="24"/>
                <w:szCs w:val="24"/>
                <w:lang w:eastAsia="lv-LV"/>
              </w:rPr>
              <w:t xml:space="preserve"> par 24 GHz diapazona radiofrekvenču spektra joslas saskaņošanu automobiļu tuvdarbības radaru iekārtu lietojumā uz ierobežotu laiku Kopienā</w:t>
            </w:r>
          </w:p>
        </w:tc>
      </w:tr>
      <w:tr w:rsidR="006E14AC" w:rsidRPr="00CA72E5" w14:paraId="71D17BE0" w14:textId="77777777" w:rsidTr="1AC23FF7">
        <w:tc>
          <w:tcPr>
            <w:tcW w:w="846" w:type="dxa"/>
          </w:tcPr>
          <w:p w14:paraId="678A34B1"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w:t>
            </w:r>
          </w:p>
        </w:tc>
        <w:tc>
          <w:tcPr>
            <w:tcW w:w="8215" w:type="dxa"/>
          </w:tcPr>
          <w:p w14:paraId="3C144CC2" w14:textId="724A1DDE"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2006</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9</w:t>
            </w:r>
            <w:r w:rsidR="004A6E54" w:rsidRPr="00CA72E5">
              <w:rPr>
                <w:rFonts w:ascii="Times New Roman" w:eastAsia="Times New Roman" w:hAnsi="Times New Roman" w:cs="Times New Roman"/>
                <w:sz w:val="24"/>
                <w:szCs w:val="24"/>
                <w:lang w:eastAsia="lv-LV"/>
              </w:rPr>
              <w:t xml:space="preserve">. novembra </w:t>
            </w:r>
            <w:r w:rsidRPr="00CA72E5">
              <w:rPr>
                <w:rFonts w:ascii="Times New Roman" w:eastAsia="Times New Roman" w:hAnsi="Times New Roman" w:cs="Times New Roman"/>
                <w:sz w:val="24"/>
                <w:szCs w:val="24"/>
                <w:lang w:eastAsia="lv-LV"/>
              </w:rPr>
              <w:t xml:space="preserve">Lēmums </w:t>
            </w:r>
            <w:hyperlink r:id="rId14"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xml:space="preserve"> par maza darbības attāluma ierīcēs izmantotā radiofrekvenču spektra saskaņošanu</w:t>
            </w:r>
          </w:p>
        </w:tc>
      </w:tr>
      <w:tr w:rsidR="006E14AC" w:rsidRPr="00CA72E5" w14:paraId="16AB8E85" w14:textId="77777777" w:rsidTr="1AC23FF7">
        <w:tc>
          <w:tcPr>
            <w:tcW w:w="846" w:type="dxa"/>
          </w:tcPr>
          <w:p w14:paraId="58918893" w14:textId="5C276C64"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4</w:t>
            </w:r>
            <w:r w:rsidRPr="00CA72E5">
              <w:rPr>
                <w:rFonts w:ascii="Times New Roman" w:eastAsia="Times New Roman" w:hAnsi="Times New Roman" w:cs="Times New Roman"/>
                <w:sz w:val="24"/>
                <w:szCs w:val="24"/>
                <w:lang w:eastAsia="lv-LV"/>
              </w:rPr>
              <w:t>.</w:t>
            </w:r>
          </w:p>
        </w:tc>
        <w:tc>
          <w:tcPr>
            <w:tcW w:w="8215" w:type="dxa"/>
          </w:tcPr>
          <w:p w14:paraId="62314186" w14:textId="0D045E2D"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2007</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14</w:t>
            </w:r>
            <w:r w:rsidR="004A6E54" w:rsidRPr="00CA72E5">
              <w:rPr>
                <w:rFonts w:ascii="Times New Roman" w:eastAsia="Times New Roman" w:hAnsi="Times New Roman" w:cs="Times New Roman"/>
                <w:sz w:val="24"/>
                <w:szCs w:val="24"/>
                <w:lang w:eastAsia="lv-LV"/>
              </w:rPr>
              <w:t xml:space="preserve">. februāra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2007/98/EK par radiofrekvenču spektra harmonizētu izmantošanu 2 GHz frekvenču joslās mobilo satelītsakaru pakalpojumu sistēmu ieviešanai</w:t>
            </w:r>
          </w:p>
        </w:tc>
      </w:tr>
      <w:tr w:rsidR="006E14AC" w:rsidRPr="00CA72E5" w14:paraId="0B126550" w14:textId="77777777" w:rsidTr="1AC23FF7">
        <w:tc>
          <w:tcPr>
            <w:tcW w:w="846" w:type="dxa"/>
          </w:tcPr>
          <w:p w14:paraId="4E8739D1" w14:textId="6F761011"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5</w:t>
            </w:r>
            <w:r w:rsidRPr="00CA72E5">
              <w:rPr>
                <w:rFonts w:ascii="Times New Roman" w:eastAsia="Times New Roman" w:hAnsi="Times New Roman" w:cs="Times New Roman"/>
                <w:sz w:val="24"/>
                <w:szCs w:val="24"/>
                <w:lang w:eastAsia="lv-LV"/>
              </w:rPr>
              <w:t>.</w:t>
            </w:r>
          </w:p>
        </w:tc>
        <w:tc>
          <w:tcPr>
            <w:tcW w:w="8215" w:type="dxa"/>
          </w:tcPr>
          <w:p w14:paraId="34C1D4ED" w14:textId="0D0D0B08"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 xml:space="preserve">7. aprīļa Lēmums </w:t>
            </w:r>
            <w:hyperlink r:id="rId15" w:history="1">
              <w:r w:rsidRPr="00CA72E5">
                <w:rPr>
                  <w:rFonts w:ascii="Times New Roman" w:eastAsia="Times New Roman" w:hAnsi="Times New Roman" w:cs="Times New Roman"/>
                  <w:sz w:val="24"/>
                  <w:szCs w:val="24"/>
                  <w:lang w:eastAsia="lv-LV"/>
                </w:rPr>
                <w:t>2008/294/EK</w:t>
              </w:r>
            </w:hyperlink>
            <w:r w:rsidRPr="00CA72E5">
              <w:rPr>
                <w:rFonts w:ascii="Times New Roman" w:eastAsia="Times New Roman" w:hAnsi="Times New Roman" w:cs="Times New Roman"/>
                <w:sz w:val="24"/>
                <w:szCs w:val="24"/>
                <w:lang w:eastAsia="lv-LV"/>
              </w:rPr>
              <w:t xml:space="preserve"> par harmonizētiem frekvenču spektra izmantošanas nosacījumiem mobilo sakaru pakalpojumu darbībai gaisakuģos (MCA pakalpojumiem) Kopienā</w:t>
            </w:r>
          </w:p>
        </w:tc>
      </w:tr>
      <w:tr w:rsidR="006E14AC" w:rsidRPr="00CA72E5" w14:paraId="7746BE69" w14:textId="77777777" w:rsidTr="1AC23FF7">
        <w:tc>
          <w:tcPr>
            <w:tcW w:w="846" w:type="dxa"/>
          </w:tcPr>
          <w:p w14:paraId="5BC5600A" w14:textId="1F5350EB"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6</w:t>
            </w:r>
            <w:r w:rsidRPr="00CA72E5">
              <w:rPr>
                <w:rFonts w:ascii="Times New Roman" w:eastAsia="Times New Roman" w:hAnsi="Times New Roman" w:cs="Times New Roman"/>
                <w:sz w:val="24"/>
                <w:szCs w:val="24"/>
                <w:lang w:eastAsia="lv-LV"/>
              </w:rPr>
              <w:t>.</w:t>
            </w:r>
          </w:p>
        </w:tc>
        <w:tc>
          <w:tcPr>
            <w:tcW w:w="8215" w:type="dxa"/>
          </w:tcPr>
          <w:p w14:paraId="3E023F64" w14:textId="4448D404"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21</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 xml:space="preserve">Lēmums </w:t>
            </w:r>
            <w:hyperlink r:id="rId16" w:history="1">
              <w:r w:rsidRPr="00CA72E5">
                <w:rPr>
                  <w:rFonts w:ascii="Times New Roman" w:eastAsia="Times New Roman" w:hAnsi="Times New Roman" w:cs="Times New Roman"/>
                  <w:sz w:val="24"/>
                  <w:szCs w:val="24"/>
                  <w:lang w:eastAsia="lv-LV"/>
                </w:rPr>
                <w:t>2008/411/EK</w:t>
              </w:r>
            </w:hyperlink>
            <w:r w:rsidRPr="00CA72E5">
              <w:rPr>
                <w:rFonts w:ascii="Times New Roman" w:eastAsia="Times New Roman" w:hAnsi="Times New Roman" w:cs="Times New Roman"/>
                <w:sz w:val="24"/>
                <w:szCs w:val="24"/>
                <w:lang w:eastAsia="lv-LV"/>
              </w:rPr>
              <w:t xml:space="preserve"> par 3400–3800 MHz frekvenču joslas harmonizāciju tādu zemes sistēmu vajadzībām, kas Kopienā spēj nodrošināt elektronisko sakaru pakalpojumus</w:t>
            </w:r>
          </w:p>
        </w:tc>
      </w:tr>
      <w:tr w:rsidR="006E14AC" w:rsidRPr="00CA72E5" w14:paraId="74875FB5" w14:textId="77777777" w:rsidTr="1AC23FF7">
        <w:tc>
          <w:tcPr>
            <w:tcW w:w="846" w:type="dxa"/>
          </w:tcPr>
          <w:p w14:paraId="7003AF3D" w14:textId="5A53FAD8"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7</w:t>
            </w:r>
            <w:r w:rsidRPr="00CA72E5">
              <w:rPr>
                <w:rFonts w:ascii="Times New Roman" w:eastAsia="Times New Roman" w:hAnsi="Times New Roman" w:cs="Times New Roman"/>
                <w:sz w:val="24"/>
                <w:szCs w:val="24"/>
                <w:lang w:eastAsia="lv-LV"/>
              </w:rPr>
              <w:t>.</w:t>
            </w:r>
          </w:p>
        </w:tc>
        <w:tc>
          <w:tcPr>
            <w:tcW w:w="8215" w:type="dxa"/>
          </w:tcPr>
          <w:p w14:paraId="5866A2FB" w14:textId="55EB3878"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23</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 xml:space="preserve">Lēmums </w:t>
            </w:r>
            <w:hyperlink r:id="rId17" w:history="1">
              <w:r w:rsidRPr="00CA72E5">
                <w:rPr>
                  <w:rFonts w:ascii="Times New Roman" w:eastAsia="Times New Roman" w:hAnsi="Times New Roman" w:cs="Times New Roman"/>
                  <w:sz w:val="24"/>
                  <w:szCs w:val="24"/>
                  <w:lang w:eastAsia="lv-LV"/>
                </w:rPr>
                <w:t>2008/432/EK</w:t>
              </w:r>
            </w:hyperlink>
            <w:r w:rsidRPr="00CA72E5">
              <w:rPr>
                <w:rFonts w:ascii="Times New Roman" w:eastAsia="Times New Roman" w:hAnsi="Times New Roman" w:cs="Times New Roman"/>
                <w:sz w:val="24"/>
                <w:szCs w:val="24"/>
                <w:lang w:eastAsia="lv-LV"/>
              </w:rPr>
              <w:t>, ar ko izdara grozījumus Lēmumā </w:t>
            </w:r>
            <w:hyperlink r:id="rId18"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par maza darbības attāluma ierīcēs izmantotā radiofrekvenču spektra saskaņošanu</w:t>
            </w:r>
          </w:p>
        </w:tc>
      </w:tr>
      <w:tr w:rsidR="006E14AC" w:rsidRPr="00CA72E5" w14:paraId="6A83A833" w14:textId="77777777" w:rsidTr="1AC23FF7">
        <w:tc>
          <w:tcPr>
            <w:tcW w:w="846" w:type="dxa"/>
          </w:tcPr>
          <w:p w14:paraId="086F8B82" w14:textId="62CB2881"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w:t>
            </w:r>
          </w:p>
        </w:tc>
        <w:tc>
          <w:tcPr>
            <w:tcW w:w="8215" w:type="dxa"/>
          </w:tcPr>
          <w:p w14:paraId="3A47AB4E" w14:textId="005D8CD8"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13</w:t>
            </w:r>
            <w:r w:rsidR="004A6E54" w:rsidRPr="00CA72E5">
              <w:rPr>
                <w:rFonts w:ascii="Times New Roman" w:eastAsia="Times New Roman" w:hAnsi="Times New Roman" w:cs="Times New Roman"/>
                <w:sz w:val="24"/>
                <w:szCs w:val="24"/>
                <w:lang w:eastAsia="lv-LV"/>
              </w:rPr>
              <w:t xml:space="preserve">. jūnija </w:t>
            </w:r>
            <w:r w:rsidRPr="00CA72E5">
              <w:rPr>
                <w:rFonts w:ascii="Times New Roman" w:eastAsia="Times New Roman" w:hAnsi="Times New Roman" w:cs="Times New Roman"/>
                <w:sz w:val="24"/>
                <w:szCs w:val="24"/>
                <w:lang w:eastAsia="lv-LV"/>
              </w:rPr>
              <w:t>Lēmums 2008/477/EK par 2500–2690 MHz frekvenču joslas harmonizāciju tādu zemes sistēmu vajadzībām, kas Kopienā spēj nodrošināt elektronisko sakaru pakalpojumus</w:t>
            </w:r>
          </w:p>
        </w:tc>
      </w:tr>
      <w:tr w:rsidR="006E14AC" w:rsidRPr="00CA72E5" w14:paraId="28219ED8" w14:textId="77777777" w:rsidTr="1AC23FF7">
        <w:tc>
          <w:tcPr>
            <w:tcW w:w="846" w:type="dxa"/>
          </w:tcPr>
          <w:p w14:paraId="57D896B3" w14:textId="26DDB641"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9</w:t>
            </w:r>
            <w:r w:rsidRPr="00CA72E5">
              <w:rPr>
                <w:rFonts w:ascii="Times New Roman" w:eastAsia="Times New Roman" w:hAnsi="Times New Roman" w:cs="Times New Roman"/>
                <w:sz w:val="24"/>
                <w:szCs w:val="24"/>
                <w:lang w:eastAsia="lv-LV"/>
              </w:rPr>
              <w:t>.</w:t>
            </w:r>
          </w:p>
        </w:tc>
        <w:tc>
          <w:tcPr>
            <w:tcW w:w="8215" w:type="dxa"/>
          </w:tcPr>
          <w:p w14:paraId="2B1A39A1" w14:textId="1A51B53B"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Eiropas Parlamenta un Padomes 2008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30</w:t>
            </w:r>
            <w:r w:rsidR="004A6E54" w:rsidRPr="00CA72E5">
              <w:rPr>
                <w:rFonts w:ascii="Times New Roman" w:eastAsia="Times New Roman" w:hAnsi="Times New Roman" w:cs="Times New Roman"/>
                <w:sz w:val="24"/>
                <w:szCs w:val="24"/>
                <w:lang w:eastAsia="lv-LV"/>
              </w:rPr>
              <w:t xml:space="preserve">. jūnija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Nr. </w:t>
            </w:r>
            <w:hyperlink r:id="rId19" w:history="1">
              <w:r w:rsidRPr="00CA72E5">
                <w:rPr>
                  <w:rFonts w:ascii="Times New Roman" w:eastAsia="Times New Roman" w:hAnsi="Times New Roman" w:cs="Times New Roman"/>
                  <w:sz w:val="24"/>
                  <w:szCs w:val="24"/>
                  <w:lang w:eastAsia="lv-LV"/>
                </w:rPr>
                <w:t>626/2008/EK</w:t>
              </w:r>
            </w:hyperlink>
            <w:r w:rsidRPr="00CA72E5">
              <w:rPr>
                <w:rFonts w:ascii="Times New Roman" w:eastAsia="Times New Roman" w:hAnsi="Times New Roman" w:cs="Times New Roman"/>
                <w:sz w:val="24"/>
                <w:szCs w:val="24"/>
                <w:lang w:eastAsia="lv-LV"/>
              </w:rPr>
              <w:t xml:space="preserve"> par sistēmu atlasi mobilo satelītsakaru pakalpojumu (MSP) nodrošināšanai un atļauju piešķiršanu šīm sistēmām</w:t>
            </w:r>
          </w:p>
        </w:tc>
      </w:tr>
      <w:tr w:rsidR="006E14AC" w:rsidRPr="00CA72E5" w14:paraId="0C765BA3" w14:textId="77777777" w:rsidTr="1AC23FF7">
        <w:tc>
          <w:tcPr>
            <w:tcW w:w="846" w:type="dxa"/>
          </w:tcPr>
          <w:p w14:paraId="2CD797A4" w14:textId="22A5A9D7"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1.</w:t>
            </w:r>
            <w:r w:rsidR="00A36569" w:rsidRPr="00CA72E5">
              <w:rPr>
                <w:rFonts w:ascii="Times New Roman" w:eastAsia="Times New Roman" w:hAnsi="Times New Roman" w:cs="Times New Roman"/>
                <w:sz w:val="24"/>
                <w:szCs w:val="24"/>
                <w:lang w:eastAsia="lv-LV"/>
              </w:rPr>
              <w:t>10</w:t>
            </w:r>
            <w:r w:rsidRPr="00CA72E5">
              <w:rPr>
                <w:rFonts w:ascii="Times New Roman" w:eastAsia="Times New Roman" w:hAnsi="Times New Roman" w:cs="Times New Roman"/>
                <w:sz w:val="24"/>
                <w:szCs w:val="24"/>
                <w:lang w:eastAsia="lv-LV"/>
              </w:rPr>
              <w:t>.</w:t>
            </w:r>
          </w:p>
        </w:tc>
        <w:tc>
          <w:tcPr>
            <w:tcW w:w="8215" w:type="dxa"/>
          </w:tcPr>
          <w:p w14:paraId="65E139E1" w14:textId="4037BBD2"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2009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13</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Lēmums 2009/381/EK</w:t>
            </w:r>
            <w:r w:rsidR="00354AB5"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ar ko izdara grozījumus Lēmumā 2006/771/EK par maza darbības attāluma ierīcēs izmantotā radiofrekvenču spektra saskaņošanu</w:t>
            </w:r>
          </w:p>
        </w:tc>
      </w:tr>
      <w:tr w:rsidR="006E14AC" w:rsidRPr="00CA72E5" w14:paraId="36604578" w14:textId="77777777" w:rsidTr="1AC23FF7">
        <w:tc>
          <w:tcPr>
            <w:tcW w:w="846" w:type="dxa"/>
          </w:tcPr>
          <w:p w14:paraId="33A62919" w14:textId="487168DC" w:rsidR="004C4639"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w:t>
            </w:r>
            <w:r w:rsidR="00A36569" w:rsidRPr="00CA72E5">
              <w:rPr>
                <w:rFonts w:ascii="Times New Roman" w:eastAsia="Times New Roman" w:hAnsi="Times New Roman" w:cs="Times New Roman"/>
                <w:sz w:val="24"/>
                <w:szCs w:val="24"/>
                <w:lang w:eastAsia="lv-LV"/>
              </w:rPr>
              <w:t>11</w:t>
            </w:r>
            <w:r w:rsidRPr="00CA72E5">
              <w:rPr>
                <w:rFonts w:ascii="Times New Roman" w:eastAsia="Times New Roman" w:hAnsi="Times New Roman" w:cs="Times New Roman"/>
                <w:sz w:val="24"/>
                <w:szCs w:val="24"/>
                <w:lang w:eastAsia="lv-LV"/>
              </w:rPr>
              <w:t>.</w:t>
            </w:r>
          </w:p>
        </w:tc>
        <w:tc>
          <w:tcPr>
            <w:tcW w:w="8215" w:type="dxa"/>
          </w:tcPr>
          <w:p w14:paraId="0883765B" w14:textId="1075579A"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2010</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6</w:t>
            </w:r>
            <w:r w:rsidR="004A6E54" w:rsidRPr="00CA72E5">
              <w:rPr>
                <w:rFonts w:ascii="Times New Roman" w:eastAsia="Times New Roman" w:hAnsi="Times New Roman" w:cs="Times New Roman"/>
                <w:sz w:val="24"/>
                <w:szCs w:val="24"/>
                <w:lang w:eastAsia="lv-LV"/>
              </w:rPr>
              <w:t xml:space="preserve">. marta </w:t>
            </w:r>
            <w:r w:rsidRPr="00CA72E5">
              <w:rPr>
                <w:rFonts w:ascii="Times New Roman" w:eastAsia="Times New Roman" w:hAnsi="Times New Roman" w:cs="Times New Roman"/>
                <w:sz w:val="24"/>
                <w:szCs w:val="24"/>
                <w:lang w:eastAsia="lv-LV"/>
              </w:rPr>
              <w:t xml:space="preserve">Lēmums </w:t>
            </w:r>
            <w:hyperlink r:id="rId20" w:history="1">
              <w:r w:rsidRPr="00CA72E5">
                <w:rPr>
                  <w:rFonts w:ascii="Times New Roman" w:eastAsia="Times New Roman" w:hAnsi="Times New Roman" w:cs="Times New Roman"/>
                  <w:sz w:val="24"/>
                  <w:szCs w:val="24"/>
                  <w:lang w:eastAsia="lv-LV"/>
                </w:rPr>
                <w:t>2010/267/ES</w:t>
              </w:r>
            </w:hyperlink>
            <w:r w:rsidRPr="00CA72E5">
              <w:rPr>
                <w:rFonts w:ascii="Times New Roman" w:eastAsia="Times New Roman" w:hAnsi="Times New Roman" w:cs="Times New Roman"/>
                <w:sz w:val="24"/>
                <w:szCs w:val="24"/>
                <w:lang w:eastAsia="lv-LV"/>
              </w:rPr>
              <w:t xml:space="preserve"> par harmonizētiem tehniskajiem lietošanas nosacījumiem 790–862 MHz frekvenču joslā tādām zemes sistēmām, kas spēj nodrošināt elektronisko sakaru pakalpojumus Eiropas Savienībā</w:t>
            </w:r>
          </w:p>
        </w:tc>
      </w:tr>
      <w:tr w:rsidR="004A7A72" w:rsidRPr="00CA72E5" w14:paraId="3163181A" w14:textId="77777777" w:rsidTr="1AC23FF7">
        <w:tc>
          <w:tcPr>
            <w:tcW w:w="846" w:type="dxa"/>
          </w:tcPr>
          <w:p w14:paraId="2655E037" w14:textId="41D08BE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1.12.</w:t>
            </w:r>
          </w:p>
        </w:tc>
        <w:tc>
          <w:tcPr>
            <w:tcW w:w="8215" w:type="dxa"/>
          </w:tcPr>
          <w:p w14:paraId="47876CBB" w14:textId="59699B2A"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w:t>
            </w:r>
            <w:r w:rsidR="00C4515A" w:rsidRPr="00CA72E5">
              <w:rPr>
                <w:rFonts w:ascii="Times New Roman" w:hAnsi="Times New Roman" w:cs="Times New Roman"/>
                <w:sz w:val="24"/>
                <w:szCs w:val="24"/>
                <w:shd w:val="clear" w:color="auto" w:fill="FFFFFF"/>
              </w:rPr>
              <w:t>Svītrots ar MK </w:t>
            </w:r>
            <w:r w:rsidR="00C4515A" w:rsidRPr="00CA72E5">
              <w:rPr>
                <w:rFonts w:ascii="Times New Roman" w:eastAsia="Times New Roman" w:hAnsi="Times New Roman" w:cs="Times New Roman"/>
                <w:sz w:val="24"/>
                <w:szCs w:val="24"/>
                <w:lang w:eastAsia="en-GB"/>
              </w:rPr>
              <w:t xml:space="preserve">2024. gada 15. oktobra </w:t>
            </w:r>
            <w:r w:rsidR="00C4515A" w:rsidRPr="00CA72E5">
              <w:rPr>
                <w:rFonts w:ascii="Times New Roman" w:hAnsi="Times New Roman" w:cs="Times New Roman"/>
                <w:sz w:val="24"/>
                <w:szCs w:val="24"/>
                <w:shd w:val="clear" w:color="auto" w:fill="FFFFFF"/>
              </w:rPr>
              <w:t>noteikumiem Nr. </w:t>
            </w:r>
            <w:r w:rsidR="00C4515A" w:rsidRPr="00CA72E5">
              <w:rPr>
                <w:rFonts w:ascii="Times New Roman" w:eastAsia="Times New Roman" w:hAnsi="Times New Roman" w:cs="Times New Roman"/>
                <w:sz w:val="24"/>
                <w:szCs w:val="24"/>
                <w:lang w:eastAsia="en-GB"/>
              </w:rPr>
              <w:t>646)</w:t>
            </w:r>
          </w:p>
        </w:tc>
      </w:tr>
      <w:tr w:rsidR="004A7A72" w:rsidRPr="00CA72E5" w14:paraId="45661C88" w14:textId="77777777" w:rsidTr="1AC23FF7">
        <w:tc>
          <w:tcPr>
            <w:tcW w:w="846" w:type="dxa"/>
          </w:tcPr>
          <w:p w14:paraId="41A072F0" w14:textId="7893D76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1.13.</w:t>
            </w:r>
          </w:p>
        </w:tc>
        <w:tc>
          <w:tcPr>
            <w:tcW w:w="8215" w:type="dxa"/>
          </w:tcPr>
          <w:p w14:paraId="436644B1" w14:textId="757191B4"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2010. gada 30. jūnija Lēmums </w:t>
            </w:r>
            <w:hyperlink r:id="rId21" w:history="1">
              <w:r w:rsidRPr="00CA72E5">
                <w:rPr>
                  <w:rFonts w:ascii="Times New Roman" w:eastAsia="Times New Roman" w:hAnsi="Times New Roman" w:cs="Times New Roman"/>
                  <w:sz w:val="24"/>
                  <w:szCs w:val="24"/>
                  <w:lang w:eastAsia="lv-LV"/>
                </w:rPr>
                <w:t>2010/368/ES</w:t>
              </w:r>
            </w:hyperlink>
            <w:r w:rsidRPr="00CA72E5">
              <w:rPr>
                <w:rFonts w:ascii="Times New Roman" w:eastAsia="Times New Roman" w:hAnsi="Times New Roman" w:cs="Times New Roman"/>
                <w:sz w:val="24"/>
                <w:szCs w:val="24"/>
                <w:lang w:eastAsia="lv-LV"/>
              </w:rPr>
              <w:t>, ar ko izdara grozījumus Lēmumā </w:t>
            </w:r>
            <w:hyperlink r:id="rId22"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par maza darbības attāluma ierīcēs izmantotā radiofrekvenču spektra saskaņošanu</w:t>
            </w:r>
          </w:p>
        </w:tc>
      </w:tr>
      <w:tr w:rsidR="004A7A72" w:rsidRPr="00CA72E5" w14:paraId="2BF6D717" w14:textId="77777777" w:rsidTr="1AC23FF7">
        <w:tc>
          <w:tcPr>
            <w:tcW w:w="846" w:type="dxa"/>
          </w:tcPr>
          <w:p w14:paraId="79616C43" w14:textId="5ABCB835"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1.14.</w:t>
            </w:r>
          </w:p>
        </w:tc>
        <w:tc>
          <w:tcPr>
            <w:tcW w:w="8215" w:type="dxa"/>
          </w:tcPr>
          <w:p w14:paraId="298344E5" w14:textId="2493094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2011. gada 29. jūlija Lēmums </w:t>
            </w:r>
            <w:hyperlink r:id="rId23" w:history="1">
              <w:r w:rsidRPr="00CA72E5">
                <w:rPr>
                  <w:rFonts w:ascii="Times New Roman" w:eastAsia="Times New Roman" w:hAnsi="Times New Roman" w:cs="Times New Roman"/>
                  <w:sz w:val="24"/>
                  <w:szCs w:val="24"/>
                  <w:lang w:eastAsia="lv-LV"/>
                </w:rPr>
                <w:t>2011/485/E</w:t>
              </w:r>
            </w:hyperlink>
            <w:r w:rsidRPr="00CA72E5">
              <w:rPr>
                <w:rFonts w:ascii="Times New Roman" w:eastAsia="Times New Roman" w:hAnsi="Times New Roman" w:cs="Times New Roman"/>
                <w:sz w:val="24"/>
                <w:szCs w:val="24"/>
                <w:lang w:eastAsia="lv-LV"/>
              </w:rPr>
              <w:t xml:space="preserve">U, ar ko izdara grozījumus </w:t>
            </w:r>
            <w:r w:rsidR="00C4515A" w:rsidRPr="00CA72E5">
              <w:rPr>
                <w:rFonts w:ascii="Times New Roman" w:eastAsia="Times New Roman" w:hAnsi="Times New Roman" w:cs="Times New Roman"/>
                <w:sz w:val="24"/>
                <w:szCs w:val="24"/>
                <w:lang w:eastAsia="lv-LV"/>
              </w:rPr>
              <w:t>L</w:t>
            </w:r>
            <w:r w:rsidRPr="00CA72E5">
              <w:rPr>
                <w:rFonts w:ascii="Times New Roman" w:eastAsia="Times New Roman" w:hAnsi="Times New Roman" w:cs="Times New Roman"/>
                <w:sz w:val="24"/>
                <w:szCs w:val="24"/>
                <w:lang w:eastAsia="lv-LV"/>
              </w:rPr>
              <w:t>ēmumā </w:t>
            </w:r>
            <w:hyperlink r:id="rId24" w:history="1">
              <w:r w:rsidRPr="00CA72E5">
                <w:rPr>
                  <w:rFonts w:ascii="Times New Roman" w:eastAsia="Times New Roman" w:hAnsi="Times New Roman" w:cs="Times New Roman"/>
                  <w:sz w:val="24"/>
                  <w:szCs w:val="24"/>
                  <w:lang w:eastAsia="lv-LV"/>
                </w:rPr>
                <w:t>2005/50/EK</w:t>
              </w:r>
            </w:hyperlink>
            <w:r w:rsidRPr="00CA72E5">
              <w:rPr>
                <w:rFonts w:ascii="Times New Roman" w:eastAsia="Times New Roman" w:hAnsi="Times New Roman" w:cs="Times New Roman"/>
                <w:sz w:val="24"/>
                <w:szCs w:val="24"/>
                <w:lang w:eastAsia="lv-LV"/>
              </w:rPr>
              <w:t> par 24 GHz diapazona radiofrekvenču spektra joslas saskaņošanu automobiļu tuvdarbības radaru iekārtu lietojumā uz ierobežotu laiku Kopienā</w:t>
            </w:r>
          </w:p>
        </w:tc>
      </w:tr>
      <w:tr w:rsidR="004A7A72" w:rsidRPr="00CA72E5" w14:paraId="663CA143" w14:textId="77777777" w:rsidTr="1AC23FF7">
        <w:tc>
          <w:tcPr>
            <w:tcW w:w="846" w:type="dxa"/>
          </w:tcPr>
          <w:p w14:paraId="37A6554A" w14:textId="14F39EE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1.15.</w:t>
            </w:r>
          </w:p>
        </w:tc>
        <w:tc>
          <w:tcPr>
            <w:tcW w:w="8215" w:type="dxa"/>
          </w:tcPr>
          <w:p w14:paraId="0322B9C0" w14:textId="4FAE8F38"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2011. gada 8. decembra Lēmums </w:t>
            </w:r>
            <w:hyperlink r:id="rId25" w:history="1">
              <w:r w:rsidRPr="00CA72E5">
                <w:rPr>
                  <w:rFonts w:ascii="Times New Roman" w:eastAsia="Times New Roman" w:hAnsi="Times New Roman" w:cs="Times New Roman"/>
                  <w:sz w:val="24"/>
                  <w:szCs w:val="24"/>
                  <w:lang w:eastAsia="lv-LV"/>
                </w:rPr>
                <w:t>2011/829/ES</w:t>
              </w:r>
            </w:hyperlink>
            <w:r w:rsidRPr="00CA72E5">
              <w:rPr>
                <w:rFonts w:ascii="Times New Roman" w:eastAsia="Times New Roman" w:hAnsi="Times New Roman" w:cs="Times New Roman"/>
                <w:sz w:val="24"/>
                <w:szCs w:val="24"/>
                <w:lang w:eastAsia="lv-LV"/>
              </w:rPr>
              <w:t>, ar ko izdara grozījumus Lēmumā </w:t>
            </w:r>
            <w:hyperlink r:id="rId26"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par maza darbības attāluma ierīcēs izmantotā radiofrekvenču spektra saskaņošanu</w:t>
            </w:r>
          </w:p>
        </w:tc>
      </w:tr>
      <w:tr w:rsidR="004A7A72" w:rsidRPr="00CA72E5" w14:paraId="582837F3" w14:textId="77777777" w:rsidTr="1AC23FF7">
        <w:tc>
          <w:tcPr>
            <w:tcW w:w="846" w:type="dxa"/>
          </w:tcPr>
          <w:p w14:paraId="3F036F1E" w14:textId="6123A8A2"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1.16.</w:t>
            </w:r>
          </w:p>
        </w:tc>
        <w:tc>
          <w:tcPr>
            <w:tcW w:w="8215" w:type="dxa"/>
          </w:tcPr>
          <w:p w14:paraId="01CAB256" w14:textId="56EB3165"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2012. gada 5. novembra Lēmums </w:t>
            </w:r>
            <w:hyperlink r:id="rId27" w:history="1">
              <w:r w:rsidRPr="00CA72E5">
                <w:rPr>
                  <w:rFonts w:ascii="Times New Roman" w:eastAsia="Times New Roman" w:hAnsi="Times New Roman" w:cs="Times New Roman"/>
                  <w:sz w:val="24"/>
                  <w:szCs w:val="24"/>
                  <w:lang w:eastAsia="lv-LV"/>
                </w:rPr>
                <w:t>2012/688/ES</w:t>
              </w:r>
            </w:hyperlink>
            <w:r w:rsidRPr="00CA72E5">
              <w:rPr>
                <w:rFonts w:ascii="Times New Roman" w:eastAsia="Times New Roman" w:hAnsi="Times New Roman" w:cs="Times New Roman"/>
                <w:sz w:val="24"/>
                <w:szCs w:val="24"/>
                <w:lang w:eastAsia="lv-LV"/>
              </w:rPr>
              <w:t xml:space="preserve"> par 1920–1980 MHz un 2110–2170 MHz frekvenču joslu harmonizāciju tādu zemes sistēmu vajadzībām, kas Savienībā spēj nodrošināt elektronisko sakaru pakalpojumus</w:t>
            </w:r>
          </w:p>
        </w:tc>
      </w:tr>
      <w:tr w:rsidR="004A7A72" w:rsidRPr="00CA72E5" w14:paraId="7AC00FC4" w14:textId="77777777" w:rsidTr="1AC23FF7">
        <w:tc>
          <w:tcPr>
            <w:tcW w:w="846" w:type="dxa"/>
          </w:tcPr>
          <w:p w14:paraId="19F753A7" w14:textId="300928D7"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1.17.</w:t>
            </w:r>
          </w:p>
        </w:tc>
        <w:tc>
          <w:tcPr>
            <w:tcW w:w="8215" w:type="dxa"/>
          </w:tcPr>
          <w:p w14:paraId="4050E723" w14:textId="65331875"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2013. gada 12. novembra Lēmums </w:t>
            </w:r>
            <w:hyperlink r:id="rId28" w:history="1">
              <w:r w:rsidRPr="00CA72E5">
                <w:rPr>
                  <w:rFonts w:ascii="Times New Roman" w:eastAsia="Times New Roman" w:hAnsi="Times New Roman" w:cs="Times New Roman"/>
                  <w:sz w:val="24"/>
                  <w:szCs w:val="24"/>
                  <w:lang w:eastAsia="lv-LV"/>
                </w:rPr>
                <w:t>2013/654/ES</w:t>
              </w:r>
            </w:hyperlink>
            <w:r w:rsidRPr="00CA72E5">
              <w:rPr>
                <w:rFonts w:ascii="Times New Roman" w:eastAsia="Times New Roman" w:hAnsi="Times New Roman" w:cs="Times New Roman"/>
                <w:sz w:val="24"/>
                <w:szCs w:val="24"/>
                <w:lang w:eastAsia="lv-LV"/>
              </w:rPr>
              <w:t xml:space="preserve"> par grozījumiem Lēmumā </w:t>
            </w:r>
            <w:hyperlink r:id="rId29" w:history="1">
              <w:r w:rsidRPr="00CA72E5">
                <w:rPr>
                  <w:rFonts w:ascii="Times New Roman" w:eastAsia="Times New Roman" w:hAnsi="Times New Roman" w:cs="Times New Roman"/>
                  <w:sz w:val="24"/>
                  <w:szCs w:val="24"/>
                  <w:lang w:eastAsia="lv-LV"/>
                </w:rPr>
                <w:t>2008/294/EK</w:t>
              </w:r>
            </w:hyperlink>
            <w:r w:rsidRPr="00CA72E5">
              <w:rPr>
                <w:rFonts w:ascii="Times New Roman" w:eastAsia="Times New Roman" w:hAnsi="Times New Roman" w:cs="Times New Roman"/>
                <w:sz w:val="24"/>
                <w:szCs w:val="24"/>
                <w:lang w:eastAsia="lv-LV"/>
              </w:rPr>
              <w:t>, iekļaujot papildu piekļuves tehnoloģijas un frekvenču joslas mobilo sakaru pakalpojumiem gaisa kuģos (MCA pakalpojumiem)</w:t>
            </w:r>
          </w:p>
        </w:tc>
      </w:tr>
      <w:tr w:rsidR="004A7A72" w:rsidRPr="00CA72E5" w14:paraId="6E582E4B" w14:textId="77777777" w:rsidTr="1AC23FF7">
        <w:tc>
          <w:tcPr>
            <w:tcW w:w="846" w:type="dxa"/>
          </w:tcPr>
          <w:p w14:paraId="3529BB2E" w14:textId="6A709FB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1.18.</w:t>
            </w:r>
          </w:p>
        </w:tc>
        <w:tc>
          <w:tcPr>
            <w:tcW w:w="8215" w:type="dxa"/>
          </w:tcPr>
          <w:p w14:paraId="1CFE999F" w14:textId="4C0B237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2013. gada 11. decembra Lēmums </w:t>
            </w:r>
            <w:hyperlink r:id="rId30" w:history="1">
              <w:r w:rsidRPr="00CA72E5">
                <w:rPr>
                  <w:rFonts w:ascii="Times New Roman" w:eastAsia="Times New Roman" w:hAnsi="Times New Roman" w:cs="Times New Roman"/>
                  <w:sz w:val="24"/>
                  <w:szCs w:val="24"/>
                  <w:lang w:eastAsia="lv-LV"/>
                </w:rPr>
                <w:t>2013/752/ES</w:t>
              </w:r>
            </w:hyperlink>
            <w:r w:rsidRPr="00CA72E5">
              <w:rPr>
                <w:rFonts w:ascii="Times New Roman" w:eastAsia="Times New Roman" w:hAnsi="Times New Roman" w:cs="Times New Roman"/>
                <w:sz w:val="24"/>
                <w:szCs w:val="24"/>
                <w:lang w:eastAsia="lv-LV"/>
              </w:rPr>
              <w:t>, ar ko izdara grozījumus Lēmumā </w:t>
            </w:r>
            <w:hyperlink r:id="rId31"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xml:space="preserve"> par maza darbības attāluma ierīcēs izmantotā radiofrekvenču spektra saskaņošanu un Lēmuma </w:t>
            </w:r>
            <w:hyperlink r:id="rId32" w:history="1">
              <w:r w:rsidRPr="00CA72E5">
                <w:rPr>
                  <w:rFonts w:ascii="Times New Roman" w:eastAsia="Times New Roman" w:hAnsi="Times New Roman" w:cs="Times New Roman"/>
                  <w:sz w:val="24"/>
                  <w:szCs w:val="24"/>
                  <w:lang w:eastAsia="lv-LV"/>
                </w:rPr>
                <w:t>2005/928/EK</w:t>
              </w:r>
            </w:hyperlink>
            <w:r w:rsidRPr="00CA72E5">
              <w:rPr>
                <w:rFonts w:ascii="Times New Roman" w:eastAsia="Times New Roman" w:hAnsi="Times New Roman" w:cs="Times New Roman"/>
                <w:sz w:val="24"/>
                <w:szCs w:val="24"/>
                <w:lang w:eastAsia="lv-LV"/>
              </w:rPr>
              <w:t> atcelšanu</w:t>
            </w:r>
          </w:p>
        </w:tc>
      </w:tr>
      <w:tr w:rsidR="004A7A72" w:rsidRPr="00CA72E5" w14:paraId="1116D188" w14:textId="77777777" w:rsidTr="1AC23FF7">
        <w:tc>
          <w:tcPr>
            <w:tcW w:w="846" w:type="dxa"/>
          </w:tcPr>
          <w:p w14:paraId="47F4E2AA" w14:textId="7DAC00A0"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1.19.</w:t>
            </w:r>
          </w:p>
        </w:tc>
        <w:tc>
          <w:tcPr>
            <w:tcW w:w="8215" w:type="dxa"/>
          </w:tcPr>
          <w:p w14:paraId="18A8717F" w14:textId="7899105A"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2014. gada 2. maija Īstenošanas lēmums </w:t>
            </w:r>
            <w:hyperlink r:id="rId33" w:history="1">
              <w:r w:rsidRPr="00CA72E5">
                <w:rPr>
                  <w:rFonts w:ascii="Times New Roman" w:eastAsia="Times New Roman" w:hAnsi="Times New Roman" w:cs="Times New Roman"/>
                  <w:sz w:val="24"/>
                  <w:szCs w:val="24"/>
                  <w:lang w:eastAsia="lv-LV"/>
                </w:rPr>
                <w:t>2014/276/ES</w:t>
              </w:r>
            </w:hyperlink>
            <w:r w:rsidRPr="00CA72E5">
              <w:rPr>
                <w:rFonts w:ascii="Times New Roman" w:eastAsia="Times New Roman" w:hAnsi="Times New Roman" w:cs="Times New Roman"/>
                <w:sz w:val="24"/>
                <w:szCs w:val="24"/>
                <w:lang w:eastAsia="lv-LV"/>
              </w:rPr>
              <w:t xml:space="preserve"> par grozījumiem Lēmumā </w:t>
            </w:r>
            <w:hyperlink r:id="rId34" w:history="1">
              <w:r w:rsidRPr="00CA72E5">
                <w:rPr>
                  <w:rFonts w:ascii="Times New Roman" w:eastAsia="Times New Roman" w:hAnsi="Times New Roman" w:cs="Times New Roman"/>
                  <w:sz w:val="24"/>
                  <w:szCs w:val="24"/>
                  <w:lang w:eastAsia="lv-LV"/>
                </w:rPr>
                <w:t>2008/411/EK</w:t>
              </w:r>
            </w:hyperlink>
            <w:r w:rsidRPr="00CA72E5">
              <w:rPr>
                <w:rFonts w:ascii="Times New Roman" w:eastAsia="Times New Roman" w:hAnsi="Times New Roman" w:cs="Times New Roman"/>
                <w:sz w:val="24"/>
                <w:szCs w:val="24"/>
                <w:lang w:eastAsia="lv-LV"/>
              </w:rPr>
              <w:t> par 3400–3800 MHz frekvenču joslas harmonizāciju tādu zemes sistēmu vajadzībām, kas Kopienā spēj nodrošināt elektronisko sakaru pakalpojumus</w:t>
            </w:r>
          </w:p>
        </w:tc>
      </w:tr>
      <w:tr w:rsidR="004A7A72" w:rsidRPr="00CA72E5" w14:paraId="363A16CC" w14:textId="77777777" w:rsidTr="1AC23FF7">
        <w:tc>
          <w:tcPr>
            <w:tcW w:w="846" w:type="dxa"/>
          </w:tcPr>
          <w:p w14:paraId="33711151" w14:textId="4AA0EF76" w:rsidR="004A7A72" w:rsidRPr="00CA72E5" w:rsidRDefault="004A7A72" w:rsidP="004A7A72">
            <w:pPr>
              <w:spacing w:after="120" w:line="240" w:lineRule="auto"/>
              <w:rPr>
                <w:rFonts w:ascii="Times New Roman" w:eastAsia="Times New Roman" w:hAnsi="Times New Roman" w:cs="Times New Roman"/>
                <w:sz w:val="24"/>
                <w:szCs w:val="24"/>
                <w:highlight w:val="yellow"/>
                <w:lang w:eastAsia="lv-LV"/>
              </w:rPr>
            </w:pPr>
            <w:r w:rsidRPr="005567F5">
              <w:rPr>
                <w:rFonts w:ascii="Times New Roman" w:eastAsia="Times New Roman" w:hAnsi="Times New Roman" w:cs="Times New Roman"/>
                <w:sz w:val="24"/>
                <w:szCs w:val="24"/>
                <w:lang w:eastAsia="lv-LV"/>
              </w:rPr>
              <w:t>1.20.</w:t>
            </w:r>
          </w:p>
        </w:tc>
        <w:tc>
          <w:tcPr>
            <w:tcW w:w="8215" w:type="dxa"/>
          </w:tcPr>
          <w:p w14:paraId="13B23223" w14:textId="333B4458" w:rsidR="004A7A72" w:rsidRPr="005567F5" w:rsidRDefault="005567F5" w:rsidP="005567F5">
            <w:pPr>
              <w:spacing w:after="120" w:line="240" w:lineRule="auto"/>
              <w:rPr>
                <w:rFonts w:ascii="Times New Roman" w:eastAsia="Times New Roman" w:hAnsi="Times New Roman" w:cs="Times New Roman"/>
                <w:sz w:val="24"/>
                <w:szCs w:val="24"/>
                <w:lang w:eastAsia="lv-LV"/>
              </w:rPr>
            </w:pPr>
            <w:r w:rsidRPr="005567F5">
              <w:rPr>
                <w:rFonts w:ascii="Times New Roman" w:eastAsia="Times New Roman" w:hAnsi="Times New Roman" w:cs="Times New Roman"/>
                <w:sz w:val="24"/>
                <w:szCs w:val="24"/>
                <w:lang w:eastAsia="lv-LV"/>
              </w:rPr>
              <w:t>(Svītrots ar MK </w:t>
            </w:r>
            <w:r w:rsidRPr="005567F5">
              <w:rPr>
                <w:rFonts w:ascii="Times New Roman" w:eastAsia="Times New Roman" w:hAnsi="Times New Roman" w:cs="Times New Roman"/>
                <w:sz w:val="24"/>
                <w:szCs w:val="24"/>
                <w:lang w:eastAsia="lv-LV"/>
              </w:rPr>
              <w:t>2025. gada 2. decembra</w:t>
            </w:r>
            <w:r w:rsidRPr="005567F5">
              <w:rPr>
                <w:rFonts w:ascii="Times New Roman" w:eastAsia="Times New Roman" w:hAnsi="Times New Roman" w:cs="Times New Roman"/>
                <w:sz w:val="24"/>
                <w:szCs w:val="24"/>
                <w:lang w:eastAsia="lv-LV"/>
              </w:rPr>
              <w:t xml:space="preserve"> noteikumiem Nr. </w:t>
            </w:r>
            <w:r w:rsidRPr="005567F5">
              <w:rPr>
                <w:rFonts w:ascii="Times New Roman" w:eastAsia="Times New Roman" w:hAnsi="Times New Roman" w:cs="Times New Roman"/>
                <w:sz w:val="24"/>
                <w:szCs w:val="24"/>
                <w:lang w:eastAsia="lv-LV"/>
              </w:rPr>
              <w:t>711</w:t>
            </w:r>
            <w:r w:rsidRPr="005567F5">
              <w:rPr>
                <w:rFonts w:ascii="Times New Roman" w:eastAsia="Times New Roman" w:hAnsi="Times New Roman" w:cs="Times New Roman"/>
                <w:sz w:val="24"/>
                <w:szCs w:val="24"/>
                <w:lang w:val="nl-NL" w:eastAsia="lv-LV"/>
              </w:rPr>
              <w:t>) </w:t>
            </w:r>
          </w:p>
        </w:tc>
      </w:tr>
      <w:tr w:rsidR="004A7A72" w:rsidRPr="00CA72E5" w14:paraId="66428208" w14:textId="77777777" w:rsidTr="1AC23FF7">
        <w:tc>
          <w:tcPr>
            <w:tcW w:w="846" w:type="dxa"/>
          </w:tcPr>
          <w:p w14:paraId="6D895EC8" w14:textId="1B0F6D18"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1.21.</w:t>
            </w:r>
          </w:p>
        </w:tc>
        <w:tc>
          <w:tcPr>
            <w:tcW w:w="8215" w:type="dxa"/>
          </w:tcPr>
          <w:p w14:paraId="4A061438" w14:textId="4FE7AD1B"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2015. gada 8. maija Īstenošanas lēmums (ES) 2015/750 par 1427–1517 MHz frekvenču joslas harmonizāciju tādu zemes sistēmu vajadzībām, kas Savienībā spēj nodrošināt elektronisko sakaru pakalpojumus</w:t>
            </w:r>
          </w:p>
        </w:tc>
      </w:tr>
      <w:tr w:rsidR="004A7A72" w:rsidRPr="00CA72E5" w14:paraId="4552DE1D" w14:textId="77777777" w:rsidTr="1AC23FF7">
        <w:tc>
          <w:tcPr>
            <w:tcW w:w="846" w:type="dxa"/>
          </w:tcPr>
          <w:p w14:paraId="20835702" w14:textId="39D8E26C"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1.22.</w:t>
            </w:r>
          </w:p>
        </w:tc>
        <w:tc>
          <w:tcPr>
            <w:tcW w:w="8215" w:type="dxa"/>
          </w:tcPr>
          <w:p w14:paraId="69ADA2FE" w14:textId="233CAB44"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2016. gada 8. marta Īstenošanas lēmums </w:t>
            </w:r>
            <w:hyperlink r:id="rId35" w:history="1">
              <w:r w:rsidRPr="00CA72E5">
                <w:rPr>
                  <w:rFonts w:ascii="Times New Roman" w:eastAsia="Times New Roman" w:hAnsi="Times New Roman" w:cs="Times New Roman"/>
                  <w:sz w:val="24"/>
                  <w:szCs w:val="24"/>
                  <w:lang w:eastAsia="lv-LV"/>
                </w:rPr>
                <w:t>2016/339</w:t>
              </w:r>
            </w:hyperlink>
            <w:r w:rsidRPr="00CA72E5">
              <w:rPr>
                <w:rFonts w:ascii="Times New Roman" w:eastAsia="Times New Roman" w:hAnsi="Times New Roman" w:cs="Times New Roman"/>
                <w:sz w:val="24"/>
                <w:szCs w:val="24"/>
                <w:lang w:eastAsia="lv-LV"/>
              </w:rPr>
              <w:t xml:space="preserve"> par 2010–2025 MHz frekvenču joslas harmonizēšanu portatīvām vai mobilām bezvadu videolīnijām un bezvadu kamerām, ko izmanto programmu gatavošanai un īpašajiem pasākumiem</w:t>
            </w:r>
          </w:p>
        </w:tc>
      </w:tr>
      <w:tr w:rsidR="004A7A72" w:rsidRPr="00CA72E5" w14:paraId="52596E87" w14:textId="77777777" w:rsidTr="1AC23FF7">
        <w:tc>
          <w:tcPr>
            <w:tcW w:w="846" w:type="dxa"/>
          </w:tcPr>
          <w:p w14:paraId="171FD155" w14:textId="5073259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1.23.</w:t>
            </w:r>
          </w:p>
        </w:tc>
        <w:tc>
          <w:tcPr>
            <w:tcW w:w="8215" w:type="dxa"/>
          </w:tcPr>
          <w:p w14:paraId="3AAE78B4" w14:textId="2FC4B9CD"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2016. gada 28. aprīļa Īstenošanas lēmums (ES) 2016/687 par 694–790 MHz frekvenču joslas harmonizāciju tādu zemes sistēmu vajadzībām, kas Savienībā spēj sniegt bezvadu platjoslas elektronisko sakaru pakalpojumus, un elastīgai nacionālai izmantošanai</w:t>
            </w:r>
          </w:p>
        </w:tc>
      </w:tr>
      <w:tr w:rsidR="004A7A72" w:rsidRPr="00CA72E5" w14:paraId="047134AE" w14:textId="77777777" w:rsidTr="1AC23FF7">
        <w:tc>
          <w:tcPr>
            <w:tcW w:w="846" w:type="dxa"/>
          </w:tcPr>
          <w:p w14:paraId="4BF2026A" w14:textId="6C771D2D"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1.24.</w:t>
            </w:r>
          </w:p>
        </w:tc>
        <w:tc>
          <w:tcPr>
            <w:tcW w:w="8215" w:type="dxa"/>
          </w:tcPr>
          <w:p w14:paraId="1E538064" w14:textId="525B9E84"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2016. gada 16. decembra Īstenošanas lēmums (ES) 2016/2317, ar ko groza Komisijas Lēmumu </w:t>
            </w:r>
            <w:hyperlink r:id="rId36" w:history="1">
              <w:r w:rsidRPr="00CA72E5">
                <w:rPr>
                  <w:rFonts w:ascii="Times New Roman" w:eastAsia="Times New Roman" w:hAnsi="Times New Roman" w:cs="Times New Roman"/>
                  <w:sz w:val="24"/>
                  <w:szCs w:val="24"/>
                  <w:lang w:eastAsia="lv-LV"/>
                </w:rPr>
                <w:t>2008/294/EK</w:t>
              </w:r>
            </w:hyperlink>
            <w:r w:rsidRPr="00CA72E5">
              <w:rPr>
                <w:rFonts w:ascii="Times New Roman" w:eastAsia="Times New Roman" w:hAnsi="Times New Roman" w:cs="Times New Roman"/>
                <w:sz w:val="24"/>
                <w:szCs w:val="24"/>
                <w:lang w:eastAsia="lv-LV"/>
              </w:rPr>
              <w:t xml:space="preserve"> un Komisijas Īstenošanas lēmumu </w:t>
            </w:r>
            <w:hyperlink r:id="rId37" w:history="1">
              <w:r w:rsidRPr="00CA72E5">
                <w:rPr>
                  <w:rFonts w:ascii="Times New Roman" w:eastAsia="Times New Roman" w:hAnsi="Times New Roman" w:cs="Times New Roman"/>
                  <w:sz w:val="24"/>
                  <w:szCs w:val="24"/>
                  <w:lang w:eastAsia="lv-LV"/>
                </w:rPr>
                <w:t>2013/654/ES</w:t>
              </w:r>
            </w:hyperlink>
            <w:r w:rsidRPr="00CA72E5">
              <w:rPr>
                <w:rFonts w:ascii="Times New Roman" w:eastAsia="Times New Roman" w:hAnsi="Times New Roman" w:cs="Times New Roman"/>
                <w:sz w:val="24"/>
                <w:szCs w:val="24"/>
                <w:lang w:eastAsia="lv-LV"/>
              </w:rPr>
              <w:t>, lai vienkāršotu mobilo sakaru darbību gaisa kuģos (MCA pakalpojumus) Savienībā</w:t>
            </w:r>
          </w:p>
        </w:tc>
      </w:tr>
      <w:tr w:rsidR="004A7A72" w:rsidRPr="00CA72E5" w14:paraId="3EE677CE" w14:textId="77777777" w:rsidTr="1AC23FF7">
        <w:tc>
          <w:tcPr>
            <w:tcW w:w="846" w:type="dxa"/>
          </w:tcPr>
          <w:p w14:paraId="05FE9B1B" w14:textId="30A72E13"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1.25.</w:t>
            </w:r>
          </w:p>
        </w:tc>
        <w:tc>
          <w:tcPr>
            <w:tcW w:w="8215" w:type="dxa"/>
          </w:tcPr>
          <w:p w14:paraId="13910E83" w14:textId="61A6391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2017. gada 1. februāra Īstenošanas lēmums (ES) 2017/191, ar ko groza Lēmumu </w:t>
            </w:r>
            <w:hyperlink r:id="rId38" w:history="1">
              <w:r w:rsidRPr="00CA72E5">
                <w:rPr>
                  <w:rFonts w:ascii="Times New Roman" w:eastAsia="Times New Roman" w:hAnsi="Times New Roman" w:cs="Times New Roman"/>
                  <w:sz w:val="24"/>
                  <w:szCs w:val="24"/>
                  <w:lang w:eastAsia="lv-LV"/>
                </w:rPr>
                <w:t>2010/166/ES</w:t>
              </w:r>
            </w:hyperlink>
            <w:r w:rsidRPr="00CA72E5">
              <w:rPr>
                <w:rFonts w:ascii="Times New Roman" w:eastAsia="Times New Roman" w:hAnsi="Times New Roman" w:cs="Times New Roman"/>
                <w:sz w:val="24"/>
                <w:szCs w:val="24"/>
                <w:lang w:eastAsia="lv-LV"/>
              </w:rPr>
              <w:t>, ieviešot jaunas tehnoloģijas un frekvenču joslas mobilo sakaru pakalpojumiem kuģos (MCV pakalpojumiem) Eiropas Savienībā</w:t>
            </w:r>
          </w:p>
        </w:tc>
      </w:tr>
      <w:tr w:rsidR="004A7A72" w:rsidRPr="00CA72E5" w14:paraId="5002DD67" w14:textId="77777777" w:rsidTr="1AC23FF7">
        <w:tc>
          <w:tcPr>
            <w:tcW w:w="846" w:type="dxa"/>
          </w:tcPr>
          <w:p w14:paraId="2A8EE6DD" w14:textId="189F69F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1.26.</w:t>
            </w:r>
          </w:p>
        </w:tc>
        <w:tc>
          <w:tcPr>
            <w:tcW w:w="8215" w:type="dxa"/>
          </w:tcPr>
          <w:p w14:paraId="473B7BA2" w14:textId="6DC9CC9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Eiropas Parlamenta un Padomes 2017. gada 17. maija Lēmums (ES) 2017/899 par 470–790 MHz frekvenču joslas izmantošanu Savienībā</w:t>
            </w:r>
          </w:p>
        </w:tc>
      </w:tr>
      <w:tr w:rsidR="004A7A72" w:rsidRPr="00CA72E5" w14:paraId="6EEDE729" w14:textId="77777777" w:rsidTr="1AC23FF7">
        <w:tc>
          <w:tcPr>
            <w:tcW w:w="846" w:type="dxa"/>
          </w:tcPr>
          <w:p w14:paraId="18F4934F" w14:textId="36B010A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1.27.</w:t>
            </w:r>
          </w:p>
        </w:tc>
        <w:tc>
          <w:tcPr>
            <w:tcW w:w="8215" w:type="dxa"/>
          </w:tcPr>
          <w:p w14:paraId="79C3FDD6" w14:textId="698321B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2017. gada 8. augusta Īstenošanas lēmums </w:t>
            </w:r>
            <w:hyperlink r:id="rId39" w:history="1">
              <w:r w:rsidRPr="00CA72E5">
                <w:rPr>
                  <w:rFonts w:ascii="Times New Roman" w:eastAsia="Times New Roman" w:hAnsi="Times New Roman" w:cs="Times New Roman"/>
                  <w:sz w:val="24"/>
                  <w:szCs w:val="24"/>
                  <w:lang w:eastAsia="lv-LV"/>
                </w:rPr>
                <w:t>2017/1483/EK</w:t>
              </w:r>
            </w:hyperlink>
            <w:r w:rsidRPr="00CA72E5">
              <w:rPr>
                <w:rFonts w:ascii="Times New Roman" w:eastAsia="Times New Roman" w:hAnsi="Times New Roman" w:cs="Times New Roman"/>
                <w:sz w:val="24"/>
                <w:szCs w:val="24"/>
                <w:lang w:eastAsia="lv-LV"/>
              </w:rPr>
              <w:t xml:space="preserve"> par Lēmuma 2006/771/EK par maza darbības attāluma ierīcēs izmantotā radiofrekvenču spektra saskaņošanu grozījumiem un Lēmuma 2006/804/EK atcelšanu</w:t>
            </w:r>
          </w:p>
        </w:tc>
      </w:tr>
      <w:tr w:rsidR="004A7A72" w:rsidRPr="00CA72E5" w14:paraId="21ECC68F" w14:textId="77777777" w:rsidTr="1AC23FF7">
        <w:tc>
          <w:tcPr>
            <w:tcW w:w="846" w:type="dxa"/>
          </w:tcPr>
          <w:p w14:paraId="37CA09CE" w14:textId="2F63A368"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1.28.</w:t>
            </w:r>
          </w:p>
        </w:tc>
        <w:tc>
          <w:tcPr>
            <w:tcW w:w="8215" w:type="dxa"/>
          </w:tcPr>
          <w:p w14:paraId="5CE6EBB1" w14:textId="06615853"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2017. gada 10. novembra Īstenošanas lēmums 2017/2077/ES par grozījumiem Lēmumā </w:t>
            </w:r>
            <w:hyperlink r:id="rId40" w:history="1">
              <w:r w:rsidRPr="00CA72E5">
                <w:rPr>
                  <w:rFonts w:ascii="Times New Roman" w:eastAsia="Times New Roman" w:hAnsi="Times New Roman" w:cs="Times New Roman"/>
                  <w:sz w:val="24"/>
                  <w:szCs w:val="24"/>
                  <w:lang w:eastAsia="lv-LV"/>
                </w:rPr>
                <w:t>2005/50/EK</w:t>
              </w:r>
            </w:hyperlink>
            <w:r w:rsidRPr="00CA72E5">
              <w:rPr>
                <w:rFonts w:ascii="Times New Roman" w:eastAsia="Times New Roman" w:hAnsi="Times New Roman" w:cs="Times New Roman"/>
                <w:sz w:val="24"/>
                <w:szCs w:val="24"/>
                <w:lang w:eastAsia="lv-LV"/>
              </w:rPr>
              <w:t xml:space="preserve"> par 24 GHz diapazona radiofrekvenču spektra joslas saskaņošanu automobiļu tuvdarbības radaru iekārtu lietojumā uz ierobežotu laiku Kopienā</w:t>
            </w:r>
          </w:p>
        </w:tc>
      </w:tr>
      <w:tr w:rsidR="004A7A72" w:rsidRPr="00CA72E5" w14:paraId="76501B60" w14:textId="77777777" w:rsidTr="1AC23FF7">
        <w:tc>
          <w:tcPr>
            <w:tcW w:w="846" w:type="dxa"/>
          </w:tcPr>
          <w:p w14:paraId="138A2CF3" w14:textId="1C80A54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1.29.</w:t>
            </w:r>
          </w:p>
        </w:tc>
        <w:tc>
          <w:tcPr>
            <w:tcW w:w="8215" w:type="dxa"/>
          </w:tcPr>
          <w:p w14:paraId="36EB2751" w14:textId="4349EFBA"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2018. gada 26. aprīļa Īstenošanas lēmums (ES) 2018/661, ar ko Īstenošanas lēmumu (ES) 2015/750 par 1452–1492 MHz frekvenču joslas harmonizāciju tādu zemes sistēmu vajadzībām, kas Savienībā spēj nodrošināt elektronisko sakaru pakalpojumus, groza, to attiecinot arī uz harmonizēto 1427–1452 MHz un 1492–1517 MHz frekvenču joslu</w:t>
            </w:r>
          </w:p>
        </w:tc>
      </w:tr>
      <w:tr w:rsidR="004A7A72" w:rsidRPr="00CA72E5" w14:paraId="6DFF01DE" w14:textId="77777777" w:rsidTr="1AC23FF7">
        <w:tc>
          <w:tcPr>
            <w:tcW w:w="846" w:type="dxa"/>
          </w:tcPr>
          <w:p w14:paraId="7A37209E" w14:textId="0E5135C4"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1.30.</w:t>
            </w:r>
          </w:p>
        </w:tc>
        <w:tc>
          <w:tcPr>
            <w:tcW w:w="8215" w:type="dxa"/>
          </w:tcPr>
          <w:p w14:paraId="2FEB3939" w14:textId="6A02D842"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2018. gada 11. oktobra Īstenošanas lēmums (ES) </w:t>
            </w:r>
            <w:hyperlink r:id="rId41" w:history="1">
              <w:r w:rsidRPr="00CA72E5">
                <w:rPr>
                  <w:rFonts w:ascii="Times New Roman" w:eastAsia="Times New Roman" w:hAnsi="Times New Roman" w:cs="Times New Roman"/>
                  <w:sz w:val="24"/>
                  <w:szCs w:val="24"/>
                  <w:lang w:eastAsia="lv-LV"/>
                </w:rPr>
                <w:t>2018/1538</w:t>
              </w:r>
            </w:hyperlink>
            <w:r w:rsidRPr="00CA72E5">
              <w:rPr>
                <w:rFonts w:ascii="Times New Roman" w:eastAsia="Times New Roman" w:hAnsi="Times New Roman" w:cs="Times New Roman"/>
                <w:sz w:val="24"/>
                <w:szCs w:val="24"/>
                <w:lang w:eastAsia="lv-LV"/>
              </w:rPr>
              <w:t xml:space="preserve"> par radiofrekvenču spektra harmonizēšanu izmantošanai maza darbības attāluma ierīcēm 874–876 un 915–921 MHz frekvenču joslās</w:t>
            </w:r>
          </w:p>
        </w:tc>
      </w:tr>
      <w:tr w:rsidR="004A7A72" w:rsidRPr="00CA72E5" w14:paraId="5454DB13" w14:textId="77777777" w:rsidTr="1AC23FF7">
        <w:tc>
          <w:tcPr>
            <w:tcW w:w="846" w:type="dxa"/>
          </w:tcPr>
          <w:p w14:paraId="6AF78A65" w14:textId="5C8850A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1.31.</w:t>
            </w:r>
          </w:p>
        </w:tc>
        <w:tc>
          <w:tcPr>
            <w:tcW w:w="8215" w:type="dxa"/>
          </w:tcPr>
          <w:p w14:paraId="3585427F" w14:textId="25E14F2C"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Komisijas 2019. gada 24. janvāra Īstenošanas lēmums (ES) 2019/235 par Lēmuma </w:t>
            </w:r>
            <w:hyperlink r:id="rId42" w:history="1">
              <w:r w:rsidRPr="00CA72E5">
                <w:rPr>
                  <w:rFonts w:ascii="Times New Roman" w:eastAsia="Times New Roman" w:hAnsi="Times New Roman" w:cs="Times New Roman"/>
                  <w:sz w:val="24"/>
                  <w:szCs w:val="24"/>
                  <w:lang w:eastAsia="lv-LV"/>
                </w:rPr>
                <w:t>2008/411/EK</w:t>
              </w:r>
            </w:hyperlink>
            <w:r w:rsidRPr="00CA72E5">
              <w:rPr>
                <w:rFonts w:ascii="Times New Roman" w:eastAsia="Times New Roman" w:hAnsi="Times New Roman" w:cs="Times New Roman"/>
                <w:sz w:val="24"/>
                <w:szCs w:val="24"/>
                <w:lang w:eastAsia="lv-LV"/>
              </w:rPr>
              <w:t xml:space="preserve"> grozīšanu attiecībā uz atjauninājumiem 3400–3800 MHz frekvenču joslā piemērojamos attiecīgajos tehniskajos nosacījumos</w:t>
            </w:r>
          </w:p>
        </w:tc>
      </w:tr>
      <w:tr w:rsidR="004A7A72" w:rsidRPr="00CA72E5" w14:paraId="272B150D" w14:textId="77777777" w:rsidTr="1AC23FF7">
        <w:tc>
          <w:tcPr>
            <w:tcW w:w="846" w:type="dxa"/>
          </w:tcPr>
          <w:p w14:paraId="5665590B" w14:textId="748C110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1.32.</w:t>
            </w:r>
          </w:p>
        </w:tc>
        <w:tc>
          <w:tcPr>
            <w:tcW w:w="8215" w:type="dxa"/>
          </w:tcPr>
          <w:p w14:paraId="0915DF7B" w14:textId="1710AF4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2019. gada 14. maija Īstenošanas lēmums (ES) 2019/784 par 24,25–27,5 GHz frekvenču joslas harmonizāciju tādu zemes sistēmu vajadzībām, kas Savienībā spēj nodrošināt bezvadu platjoslas elektronisko sakaru pakalpojumus</w:t>
            </w:r>
          </w:p>
        </w:tc>
      </w:tr>
      <w:tr w:rsidR="004A7A72" w:rsidRPr="00CA72E5" w14:paraId="16C0A1CF" w14:textId="77777777" w:rsidTr="1AC23FF7">
        <w:tc>
          <w:tcPr>
            <w:tcW w:w="846" w:type="dxa"/>
          </w:tcPr>
          <w:p w14:paraId="3AD3635F" w14:textId="3C772ADD"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1.33.</w:t>
            </w:r>
          </w:p>
        </w:tc>
        <w:tc>
          <w:tcPr>
            <w:tcW w:w="8215" w:type="dxa"/>
          </w:tcPr>
          <w:p w14:paraId="5A981092" w14:textId="710562CB"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2019. gada 14. maija Īstenošanas lēmums (ES) 2019/785 par radiofrekvenču spektra harmonizēšanu Savienībā iekārtām, kurās izmanto ultraplatjoslas tehnoloģiju, un Lēmuma 2007/131/EK atcelšanu</w:t>
            </w:r>
          </w:p>
        </w:tc>
      </w:tr>
      <w:tr w:rsidR="004A7A72" w:rsidRPr="00CA72E5" w14:paraId="291A981E" w14:textId="77777777" w:rsidTr="1AC23FF7">
        <w:tc>
          <w:tcPr>
            <w:tcW w:w="846" w:type="dxa"/>
          </w:tcPr>
          <w:p w14:paraId="770C43D5" w14:textId="42B445F7"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1.34.</w:t>
            </w:r>
          </w:p>
        </w:tc>
        <w:tc>
          <w:tcPr>
            <w:tcW w:w="8215" w:type="dxa"/>
          </w:tcPr>
          <w:p w14:paraId="2C934714" w14:textId="7CFF1899"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Eiropas Komisijas 2019. gada 2. augusta Īstenošanas lēmums (ES) 2019/1345, kas groza Lēmumu </w:t>
            </w:r>
            <w:hyperlink r:id="rId43" w:history="1">
              <w:r w:rsidRPr="00CA72E5">
                <w:rPr>
                  <w:rFonts w:ascii="Times New Roman" w:eastAsia="Times New Roman" w:hAnsi="Times New Roman" w:cs="Times New Roman"/>
                  <w:sz w:val="24"/>
                  <w:szCs w:val="24"/>
                  <w:lang w:eastAsia="lv-LV"/>
                </w:rPr>
                <w:t>2006/771/EK</w:t>
              </w:r>
            </w:hyperlink>
            <w:r w:rsidRPr="00CA72E5">
              <w:rPr>
                <w:rFonts w:ascii="Times New Roman" w:eastAsia="Times New Roman" w:hAnsi="Times New Roman" w:cs="Times New Roman"/>
                <w:sz w:val="24"/>
                <w:szCs w:val="24"/>
                <w:lang w:eastAsia="lv-LV"/>
              </w:rPr>
              <w:t>, atjauninot harmonizētos tehniskos noteikumus radiofrekvenču spektra izmantošanai maza darbības attāluma ierīcēs</w:t>
            </w:r>
          </w:p>
        </w:tc>
      </w:tr>
      <w:tr w:rsidR="004A7A72" w:rsidRPr="00CA72E5" w14:paraId="6A7667C2" w14:textId="77777777" w:rsidTr="1AC23FF7">
        <w:tc>
          <w:tcPr>
            <w:tcW w:w="846" w:type="dxa"/>
          </w:tcPr>
          <w:p w14:paraId="7C4A862B" w14:textId="18ECDAD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1.35.</w:t>
            </w:r>
          </w:p>
        </w:tc>
        <w:tc>
          <w:tcPr>
            <w:tcW w:w="8215" w:type="dxa"/>
          </w:tcPr>
          <w:p w14:paraId="520A2691" w14:textId="0F7F752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2020. gada 24. aprīļa Īstenošanas lēmums (ES) 2020/590, ar ko Lēmumu (ES) 2019/784 groza, lai atjauninātu attiecīgos tehniskos nosacījumus, kas piemērojami 24,25–27,5 GHz frekvenču joslai</w:t>
            </w:r>
          </w:p>
        </w:tc>
      </w:tr>
      <w:tr w:rsidR="004A7A72" w:rsidRPr="00CA72E5" w14:paraId="311E3660" w14:textId="77777777" w:rsidTr="1AC23FF7">
        <w:tc>
          <w:tcPr>
            <w:tcW w:w="846" w:type="dxa"/>
          </w:tcPr>
          <w:p w14:paraId="5B776A92" w14:textId="51952AB9"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1.36.</w:t>
            </w:r>
          </w:p>
        </w:tc>
        <w:tc>
          <w:tcPr>
            <w:tcW w:w="8215" w:type="dxa"/>
          </w:tcPr>
          <w:p w14:paraId="0F404EDD" w14:textId="05A578DB"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2020. gada 6. maija Īstenošanas lēmums (ES) 2020/667, ar ko groza Lēmumu (ES) 2012/688/ES, atjauninot attiecīgos tehniskos nosacījumus, kas piemērojami 1 920–1 980 MHz un 2110–2170 MHz frekvenču joslām</w:t>
            </w:r>
          </w:p>
        </w:tc>
      </w:tr>
      <w:tr w:rsidR="004A7A72" w:rsidRPr="00CA72E5" w14:paraId="47AE71F3" w14:textId="77777777" w:rsidTr="1AC23FF7">
        <w:tc>
          <w:tcPr>
            <w:tcW w:w="846" w:type="dxa"/>
          </w:tcPr>
          <w:p w14:paraId="6F18BC4A" w14:textId="6294DE43"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1.37.</w:t>
            </w:r>
          </w:p>
        </w:tc>
        <w:tc>
          <w:tcPr>
            <w:tcW w:w="8215" w:type="dxa"/>
          </w:tcPr>
          <w:p w14:paraId="22FC64A9" w14:textId="66B2989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2020. gada 8. maija Īstenošanas lēmums (ES) 2020/636, ar ko Lēmumu 2008/477/EK groza, lai atjauninātu attiecīgos tehniskos nosacījumus, kas piemērojami 2500–2690 MHz frekvenču joslai</w:t>
            </w:r>
          </w:p>
        </w:tc>
      </w:tr>
      <w:tr w:rsidR="004A7A72" w:rsidRPr="00CA72E5" w14:paraId="4530B868" w14:textId="77777777" w:rsidTr="1AC23FF7">
        <w:tc>
          <w:tcPr>
            <w:tcW w:w="846" w:type="dxa"/>
          </w:tcPr>
          <w:p w14:paraId="0A5646DB" w14:textId="041F8F2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1.38.</w:t>
            </w:r>
          </w:p>
        </w:tc>
        <w:tc>
          <w:tcPr>
            <w:tcW w:w="8215" w:type="dxa"/>
          </w:tcPr>
          <w:p w14:paraId="2AE8EF4A" w14:textId="7398DE78"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2020. gada 7. oktobra Īstenošanas lēmuma (ES) 2020/1426 par radiofrekvenču spektra saskaņotu izmantošanu 5875–5935 MHz frekvenču joslā ar drošību saistītiem intelektisko transporta sistēmu (ITS) lietojumiem un Lēmuma 2008/671/EK atcelšanu</w:t>
            </w:r>
          </w:p>
        </w:tc>
      </w:tr>
      <w:tr w:rsidR="004A7A72" w:rsidRPr="00CA72E5" w14:paraId="548147BF" w14:textId="77777777" w:rsidTr="1AC23FF7">
        <w:tc>
          <w:tcPr>
            <w:tcW w:w="846" w:type="dxa"/>
          </w:tcPr>
          <w:p w14:paraId="791F5567" w14:textId="49C28FD9"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1.39.</w:t>
            </w:r>
          </w:p>
        </w:tc>
        <w:tc>
          <w:tcPr>
            <w:tcW w:w="8215" w:type="dxa"/>
          </w:tcPr>
          <w:p w14:paraId="421C58A3" w14:textId="192C44E8"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2021. gada 17. jūnija Īstenošanas lēmums (ES) 2021/1067 par radiofrekvenču spektra saskaņotu lietošanu 5945–6425 MHz radiofrekvenču joslā bezvadu piekļuves sistēmu, ieskaitot lokālos tīklus (WAS/RLAN), darbības nodrošināšanai</w:t>
            </w:r>
          </w:p>
        </w:tc>
      </w:tr>
      <w:tr w:rsidR="004A7A72" w:rsidRPr="00CA72E5" w14:paraId="1514BE79" w14:textId="77777777" w:rsidTr="1AC23FF7">
        <w:tc>
          <w:tcPr>
            <w:tcW w:w="846" w:type="dxa"/>
          </w:tcPr>
          <w:p w14:paraId="7EAA3EC1" w14:textId="48154DC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1.40.</w:t>
            </w:r>
          </w:p>
        </w:tc>
        <w:tc>
          <w:tcPr>
            <w:tcW w:w="8215" w:type="dxa"/>
          </w:tcPr>
          <w:p w14:paraId="6436602E" w14:textId="6C95C56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2021. gada 28. septembra Īstenošanas lēmums (ES) 2021/1730 par 874,4–880,0 MHz un 919,4–925,0 MHz sapāroto frekvenču joslu un 1900–1910 MHz nesapārotās frekvenču joslas saskaņotu izmantošanu dzelzceļa mobilajiem sakariem</w:t>
            </w:r>
          </w:p>
        </w:tc>
      </w:tr>
      <w:tr w:rsidR="004A7A72" w:rsidRPr="00CA72E5" w14:paraId="22A6F2BC" w14:textId="77777777" w:rsidTr="1AC23FF7">
        <w:tc>
          <w:tcPr>
            <w:tcW w:w="846" w:type="dxa"/>
          </w:tcPr>
          <w:p w14:paraId="57DBE1CD" w14:textId="74558BE1"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1.41.</w:t>
            </w:r>
          </w:p>
        </w:tc>
        <w:tc>
          <w:tcPr>
            <w:tcW w:w="8215" w:type="dxa"/>
          </w:tcPr>
          <w:p w14:paraId="29725801" w14:textId="48C20E3A"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2022. gada 7. februāra Īstenošanas lēmums (ES) 2022/172 par grozījumiem Īstenošanas lēmumā (ES) 2018/1538 par radiofrekvenču spektra harmonizēšanu izmantošanai maza darbības attāluma ierīcēm 874–876 un 915–921 MHz frekvenču joslās</w:t>
            </w:r>
          </w:p>
        </w:tc>
      </w:tr>
      <w:tr w:rsidR="004A7A72" w:rsidRPr="00CA72E5" w14:paraId="0771D5D1" w14:textId="77777777" w:rsidTr="1AC23FF7">
        <w:tc>
          <w:tcPr>
            <w:tcW w:w="846" w:type="dxa"/>
          </w:tcPr>
          <w:p w14:paraId="79BADE00" w14:textId="10E4269C"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1.42.</w:t>
            </w:r>
          </w:p>
        </w:tc>
        <w:tc>
          <w:tcPr>
            <w:tcW w:w="8215" w:type="dxa"/>
          </w:tcPr>
          <w:p w14:paraId="10E39FB0" w14:textId="40EA62F0"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2022. gada 7. februāra Īstenošanas lēmums (ES) 2022/173 par 900 MHz un 1800 MHz frekvenču joslu harmonizāciju zemes sistēmām, kuras Savienībā spēj nodrošināt elektronisko sakaru pakalpojumus, un Lēmuma 2009/766/EK atcelšanu</w:t>
            </w:r>
          </w:p>
        </w:tc>
      </w:tr>
      <w:tr w:rsidR="004A7A72" w:rsidRPr="00CA72E5" w14:paraId="01E4BA0D" w14:textId="77777777" w:rsidTr="1AC23FF7">
        <w:tc>
          <w:tcPr>
            <w:tcW w:w="846" w:type="dxa"/>
          </w:tcPr>
          <w:p w14:paraId="35247337" w14:textId="1BA9E97E"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1.43.</w:t>
            </w:r>
          </w:p>
        </w:tc>
        <w:tc>
          <w:tcPr>
            <w:tcW w:w="8215" w:type="dxa"/>
          </w:tcPr>
          <w:p w14:paraId="5264D8F9" w14:textId="7B3C1A0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2022. gada 8. februāra Īstenošanas lēmums (ES) 2022/179 par radiofrekvenču spektra harmonizētu lietošanu 5 GHz frekvenču joslā bezvadu piekļuves sistēmu, ieskaitot lokālos radiotīklus, darbības nodrošināšanai un Lēmuma 2005/513/EK atcelšanu</w:t>
            </w:r>
          </w:p>
        </w:tc>
      </w:tr>
      <w:tr w:rsidR="004A7A72" w:rsidRPr="00CA72E5" w14:paraId="68932E5D" w14:textId="77777777" w:rsidTr="1AC23FF7">
        <w:tc>
          <w:tcPr>
            <w:tcW w:w="846" w:type="dxa"/>
          </w:tcPr>
          <w:p w14:paraId="3EC24649" w14:textId="606F50CD"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1.44.</w:t>
            </w:r>
          </w:p>
        </w:tc>
        <w:tc>
          <w:tcPr>
            <w:tcW w:w="8215" w:type="dxa"/>
          </w:tcPr>
          <w:p w14:paraId="3E0F35E4" w14:textId="38A5B1DF"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2022. gada 8. februāra Īstenošanas lēmums (ES) 2022/180, kas groza Lēmumu 2006/771/EK, atjauninot harmonizētos tehniskos noteikumus radiofrekvenču spektra izmantošanai maza darbības attāluma ierīcēs</w:t>
            </w:r>
          </w:p>
        </w:tc>
      </w:tr>
      <w:tr w:rsidR="004A7A72" w:rsidRPr="00CA72E5" w14:paraId="58333BDB" w14:textId="77777777" w:rsidTr="1AC23FF7">
        <w:tc>
          <w:tcPr>
            <w:tcW w:w="846" w:type="dxa"/>
          </w:tcPr>
          <w:p w14:paraId="5754FCD0" w14:textId="5265E286"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1.45.</w:t>
            </w:r>
          </w:p>
        </w:tc>
        <w:tc>
          <w:tcPr>
            <w:tcW w:w="8215" w:type="dxa"/>
          </w:tcPr>
          <w:p w14:paraId="72739BF7" w14:textId="55087DFE" w:rsidR="004A7A72" w:rsidRPr="00CA72E5" w:rsidRDefault="004A7A72" w:rsidP="004A7A72">
            <w:pPr>
              <w:spacing w:after="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rPr>
              <w:t>Komisijas 2022. gada 23. novembra Īstenošanas lēmums (ES) 2022/2307, ar ko saskaņā ar pielikumā izklāstītajiem tehniskajiem nosacījumiem Īstenošanas lēmumā (ES) 2022/179 groza to, kā paredz un dara pieejamas 5150–5250 MHz, 5250–5350 MHz un 5470–5725 MHz frekvenču joslas</w:t>
            </w:r>
          </w:p>
        </w:tc>
      </w:tr>
      <w:tr w:rsidR="004A7A72" w:rsidRPr="00CA72E5" w14:paraId="2ED19874" w14:textId="77777777" w:rsidTr="1AC23FF7">
        <w:tc>
          <w:tcPr>
            <w:tcW w:w="846" w:type="dxa"/>
          </w:tcPr>
          <w:p w14:paraId="2D6B7DB5" w14:textId="5A99B595"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1.46.</w:t>
            </w:r>
          </w:p>
        </w:tc>
        <w:tc>
          <w:tcPr>
            <w:tcW w:w="8215" w:type="dxa"/>
          </w:tcPr>
          <w:p w14:paraId="0FC25F60" w14:textId="554D8215"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rPr>
              <w:t>Komisijas 2022. gada 23. novembra Īstenošanas lēmums (ES) 2022/2324, ar ko groza Lēmumu 2008/294/EK, lai tajā iekļautu piekļuves papildu tehnoloģijas un pasākumus mobilo sakaru pakalpojumu gaisa kuģos (MCA pakalpojumu) darbībai Savienībā</w:t>
            </w:r>
          </w:p>
        </w:tc>
      </w:tr>
      <w:tr w:rsidR="004A7A72" w:rsidRPr="00CA72E5" w14:paraId="2E871D7E" w14:textId="463AE0CA" w:rsidTr="1AC23FF7">
        <w:tc>
          <w:tcPr>
            <w:tcW w:w="846" w:type="dxa"/>
          </w:tcPr>
          <w:p w14:paraId="6DA76DEC" w14:textId="2786A37D" w:rsidR="004A7A72" w:rsidRPr="00CA72E5" w:rsidRDefault="004A7A7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1.47.</w:t>
            </w:r>
          </w:p>
        </w:tc>
        <w:tc>
          <w:tcPr>
            <w:tcW w:w="8215" w:type="dxa"/>
          </w:tcPr>
          <w:p w14:paraId="5BCE87D6" w14:textId="015E409B" w:rsidR="004A7A72" w:rsidRPr="00CA72E5" w:rsidRDefault="004A7A72" w:rsidP="004A7A72">
            <w:pPr>
              <w:spacing w:after="160" w:line="259" w:lineRule="auto"/>
            </w:pPr>
            <w:r w:rsidRPr="00CA72E5">
              <w:rPr>
                <w:rFonts w:ascii="Times New Roman" w:eastAsia="Times New Roman" w:hAnsi="Times New Roman" w:cs="Times New Roman"/>
                <w:sz w:val="24"/>
                <w:szCs w:val="24"/>
              </w:rPr>
              <w:t>Komisijas 2024. gada 22. janvāra Īstenošanas lēmums (ES) 2024/340 par harmonizētiem nosacījumiem radiofrekvenču spektra izmantošanai mobilo sakaru pakalpojumiem kuģos Savienībā un Lēmuma 2010/166/ES atcelšanu</w:t>
            </w:r>
          </w:p>
        </w:tc>
      </w:tr>
      <w:tr w:rsidR="004E6803" w:rsidRPr="00CA72E5" w14:paraId="65395223" w14:textId="77777777" w:rsidTr="1AC23FF7">
        <w:tc>
          <w:tcPr>
            <w:tcW w:w="846" w:type="dxa"/>
          </w:tcPr>
          <w:p w14:paraId="7F3A7762" w14:textId="014D0A51" w:rsidR="004E6803" w:rsidRPr="00CA72E5" w:rsidRDefault="004E6803"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1.48.</w:t>
            </w:r>
          </w:p>
        </w:tc>
        <w:tc>
          <w:tcPr>
            <w:tcW w:w="8215" w:type="dxa"/>
          </w:tcPr>
          <w:p w14:paraId="0102D887" w14:textId="6571DAC5" w:rsidR="004E6803" w:rsidRPr="00CA72E5" w:rsidRDefault="004E6803" w:rsidP="00030FB4">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2024. gada 27. maija Īstenošanas lēmums (ES)</w:t>
            </w:r>
            <w:r w:rsidR="0061115C" w:rsidRPr="00CA72E5">
              <w:rPr>
                <w:rFonts w:ascii="Times New Roman" w:eastAsia="Times New Roman" w:hAnsi="Times New Roman" w:cs="Times New Roman"/>
                <w:sz w:val="24"/>
                <w:szCs w:val="24"/>
                <w:lang w:eastAsia="lv-LV"/>
              </w:rPr>
              <w:t> </w:t>
            </w:r>
            <w:r w:rsidRPr="00CA72E5">
              <w:rPr>
                <w:rFonts w:ascii="Times New Roman" w:eastAsia="Times New Roman" w:hAnsi="Times New Roman" w:cs="Times New Roman"/>
                <w:sz w:val="24"/>
                <w:szCs w:val="24"/>
                <w:lang w:eastAsia="lv-LV"/>
              </w:rPr>
              <w:t>2024/1467 par grozījumiem Īstenošanas lēmumā (ES) 2019/785 par radiofrekvenču spektra harmonizēšanu Savienībā iekārtām, kurās izmanto ultraplatjoslas tehnoloģiju</w:t>
            </w:r>
          </w:p>
        </w:tc>
      </w:tr>
      <w:tr w:rsidR="004E6803" w:rsidRPr="00CA72E5" w14:paraId="370B8893" w14:textId="77777777" w:rsidTr="1AC23FF7">
        <w:tc>
          <w:tcPr>
            <w:tcW w:w="846" w:type="dxa"/>
          </w:tcPr>
          <w:p w14:paraId="386D5BDC" w14:textId="1C2EEB7A" w:rsidR="004E6803" w:rsidRPr="00CA72E5" w:rsidRDefault="0061115C"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1.49.</w:t>
            </w:r>
          </w:p>
        </w:tc>
        <w:tc>
          <w:tcPr>
            <w:tcW w:w="8215" w:type="dxa"/>
          </w:tcPr>
          <w:p w14:paraId="5669E1E2" w14:textId="2928C02D" w:rsidR="004E6803" w:rsidRPr="00CA72E5" w:rsidRDefault="0061115C" w:rsidP="00030FB4">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2024. gada 17. decembra Īstenošanas lēmums (ES) 2024/3157 par grozījumiem Īstenošanas lēmumā (ES) 2021/1067 par radiofrekvenču spektra saskaņotu lietošanu 5 945–6 425 MHz radiofrekvenču joslā bezvadu piekļuves sistēmu, ieskaitot lokālos tīklus (WAS/RLAN), darbības nodrošināšanai</w:t>
            </w:r>
          </w:p>
        </w:tc>
      </w:tr>
      <w:tr w:rsidR="0045736F" w:rsidRPr="00CA72E5" w14:paraId="7725B3F6" w14:textId="77777777" w:rsidTr="1AC23FF7">
        <w:tc>
          <w:tcPr>
            <w:tcW w:w="846" w:type="dxa"/>
          </w:tcPr>
          <w:p w14:paraId="1A0198E5" w14:textId="75E2051F" w:rsidR="0045736F" w:rsidRPr="00CA72E5" w:rsidRDefault="0045736F"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1.50.</w:t>
            </w:r>
          </w:p>
        </w:tc>
        <w:tc>
          <w:tcPr>
            <w:tcW w:w="8215" w:type="dxa"/>
          </w:tcPr>
          <w:p w14:paraId="4A53425D" w14:textId="5DB99DB6" w:rsidR="0045736F" w:rsidRPr="00CA72E5" w:rsidRDefault="0045736F" w:rsidP="0061115C">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2025. gada 22. janvāra Īstenošanas lēmums (ES) 2025/105 par Lēmuma 2006/771/EK grozījumiem, kas atjaunina harmonizētos tehniskos noteikumus maza darbības attāluma ierīču radiofrekvenču spektra izmantošanas jomā un atceļ Īstenošanas lēmumu 2014/641/ES par harmonizētajiem tehniskajiem nosacījumiem radiofrekvenču spektra izmantošanai programmu gatavošanas un īpašo pasākumu bezvadu skaņas iekārtās Savienībā</w:t>
            </w:r>
          </w:p>
        </w:tc>
      </w:tr>
      <w:tr w:rsidR="003961C8" w:rsidRPr="00CA72E5" w14:paraId="1CE66750" w14:textId="77777777" w:rsidTr="1AC23FF7">
        <w:tc>
          <w:tcPr>
            <w:tcW w:w="846" w:type="dxa"/>
          </w:tcPr>
          <w:p w14:paraId="43A231C3" w14:textId="54CAF325" w:rsidR="003961C8" w:rsidRPr="00CA72E5" w:rsidRDefault="00C44662" w:rsidP="004A7A72">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1.51.</w:t>
            </w:r>
          </w:p>
        </w:tc>
        <w:tc>
          <w:tcPr>
            <w:tcW w:w="8215" w:type="dxa"/>
          </w:tcPr>
          <w:p w14:paraId="405BCD79" w14:textId="621016A8" w:rsidR="003961C8" w:rsidRPr="00CA72E5" w:rsidRDefault="00C44662" w:rsidP="0061115C">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Komisijas 2025. gada 26. marta Īstenošanas lēmums (ES) 2025/650</w:t>
            </w:r>
            <w:r w:rsidR="004902B6"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ar ko groza Īstenošanas lēmumu (ES) 2018/1538 par radiofrekvenču spektra harmonizēšanu izmantošanai maza darbības attāluma ierīcēm 874–876 un 915–921 MHz frekvenču joslās</w:t>
            </w:r>
          </w:p>
        </w:tc>
      </w:tr>
      <w:tr w:rsidR="0E035643" w:rsidRPr="00CA72E5" w14:paraId="6E9DC63A" w14:textId="77777777" w:rsidTr="1AC23FF7">
        <w:trPr>
          <w:trHeight w:val="300"/>
        </w:trPr>
        <w:tc>
          <w:tcPr>
            <w:tcW w:w="846" w:type="dxa"/>
          </w:tcPr>
          <w:p w14:paraId="033B59D3" w14:textId="71817127" w:rsidR="0E035643" w:rsidRPr="00CA72E5" w:rsidRDefault="1F53438F" w:rsidP="0E035643">
            <w:pPr>
              <w:spacing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1.52.</w:t>
            </w:r>
          </w:p>
        </w:tc>
        <w:tc>
          <w:tcPr>
            <w:tcW w:w="8215" w:type="dxa"/>
          </w:tcPr>
          <w:p w14:paraId="4A869547" w14:textId="2D2BE4F6" w:rsidR="0E035643" w:rsidRPr="00CA72E5" w:rsidRDefault="1F53438F" w:rsidP="0E035643">
            <w:pPr>
              <w:spacing w:line="240" w:lineRule="auto"/>
            </w:pPr>
            <w:r w:rsidRPr="00CA72E5">
              <w:rPr>
                <w:rFonts w:ascii="Times New Roman" w:eastAsia="Times New Roman" w:hAnsi="Times New Roman" w:cs="Times New Roman"/>
                <w:sz w:val="24"/>
                <w:szCs w:val="24"/>
              </w:rPr>
              <w:t>Komisijas 2025. gada 20. maija Īstenošanas lēmums (ES) 2025/913 par Īstenošanas lēmuma (ES) 2021/1067 grozījumiem, kas atjaunina tehniskos nosacījumus radiofrekvenču spektra saskaņotai lietošanai 5 945–6 425 MHz radiofrekvenču joslā bezvadu piekļuves sistēmu, ieskaitot lokālos tīklus (WAS/RLAN), darbības nodrošināšanai</w:t>
            </w:r>
          </w:p>
        </w:tc>
      </w:tr>
    </w:tbl>
    <w:p w14:paraId="05EFDB25" w14:textId="77777777" w:rsidR="00CB699B" w:rsidRPr="00CA72E5" w:rsidRDefault="008E0D70" w:rsidP="00965AEA">
      <w:pPr>
        <w:spacing w:before="100" w:beforeAutospacing="1" w:after="100" w:afterAutospacing="1" w:line="240" w:lineRule="auto"/>
        <w:rPr>
          <w:rFonts w:ascii="Times New Roman" w:hAnsi="Times New Roman" w:cs="Times New Roman"/>
          <w:b/>
          <w:bCs/>
          <w:sz w:val="24"/>
          <w:szCs w:val="24"/>
        </w:rPr>
      </w:pPr>
      <w:r w:rsidRPr="00CA72E5">
        <w:rPr>
          <w:rFonts w:ascii="Times New Roman" w:eastAsia="Times New Roman" w:hAnsi="Times New Roman" w:cs="Times New Roman"/>
          <w:b/>
          <w:bCs/>
          <w:sz w:val="24"/>
          <w:szCs w:val="24"/>
          <w:lang w:eastAsia="lv-LV"/>
        </w:rPr>
        <w:t xml:space="preserve">2. </w:t>
      </w:r>
      <w:r w:rsidR="00961D9C" w:rsidRPr="00CA72E5">
        <w:rPr>
          <w:rFonts w:ascii="Times New Roman" w:eastAsia="Times New Roman" w:hAnsi="Times New Roman" w:cs="Times New Roman"/>
          <w:b/>
          <w:bCs/>
          <w:sz w:val="24"/>
          <w:szCs w:val="24"/>
          <w:lang w:eastAsia="lv-LV"/>
        </w:rPr>
        <w:t xml:space="preserve">CEPT </w:t>
      </w:r>
      <w:r w:rsidR="00294824" w:rsidRPr="00CA72E5">
        <w:rPr>
          <w:rFonts w:ascii="Times New Roman" w:eastAsia="Times New Roman" w:hAnsi="Times New Roman" w:cs="Times New Roman"/>
          <w:b/>
          <w:bCs/>
          <w:sz w:val="24"/>
          <w:szCs w:val="24"/>
          <w:lang w:eastAsia="lv-LV"/>
        </w:rPr>
        <w:t>ECC (ERC) lēmum</w:t>
      </w:r>
      <w:r w:rsidR="009F0668" w:rsidRPr="00CA72E5">
        <w:rPr>
          <w:rFonts w:ascii="Times New Roman" w:eastAsia="Times New Roman" w:hAnsi="Times New Roman" w:cs="Times New Roman"/>
          <w:b/>
          <w:bCs/>
          <w:sz w:val="24"/>
          <w:szCs w:val="24"/>
          <w:lang w:eastAsia="lv-LV"/>
        </w:rPr>
        <w:t>i</w:t>
      </w:r>
    </w:p>
    <w:tbl>
      <w:tblPr>
        <w:tblStyle w:val="TableGrid"/>
        <w:tblW w:w="0" w:type="auto"/>
        <w:tblLook w:val="04A0" w:firstRow="1" w:lastRow="0" w:firstColumn="1" w:lastColumn="0" w:noHBand="0" w:noVBand="1"/>
      </w:tblPr>
      <w:tblGrid>
        <w:gridCol w:w="841"/>
        <w:gridCol w:w="8220"/>
      </w:tblGrid>
      <w:tr w:rsidR="006E14AC" w:rsidRPr="00CA72E5" w14:paraId="0109F651" w14:textId="77777777" w:rsidTr="5528B5C2">
        <w:tc>
          <w:tcPr>
            <w:tcW w:w="841" w:type="dxa"/>
            <w:vAlign w:val="center"/>
          </w:tcPr>
          <w:p w14:paraId="5DB6C107" w14:textId="77777777" w:rsidR="00CB699B" w:rsidRPr="00CA72E5" w:rsidRDefault="001F5866" w:rsidP="00965AEA">
            <w:pPr>
              <w:spacing w:after="120" w:line="240" w:lineRule="auto"/>
              <w:jc w:val="center"/>
              <w:rPr>
                <w:rFonts w:ascii="Times New Roman" w:eastAsia="Times New Roman" w:hAnsi="Times New Roman" w:cs="Times New Roman"/>
                <w:sz w:val="24"/>
                <w:szCs w:val="24"/>
                <w:lang w:eastAsia="lv-LV"/>
              </w:rPr>
            </w:pPr>
            <w:r w:rsidRPr="00CA72E5">
              <w:rPr>
                <w:rFonts w:ascii="Times New Roman" w:hAnsi="Times New Roman" w:cs="Times New Roman"/>
                <w:sz w:val="24"/>
                <w:szCs w:val="24"/>
              </w:rPr>
              <w:t>Nr. </w:t>
            </w:r>
            <w:r w:rsidRPr="00CA72E5">
              <w:rPr>
                <w:rFonts w:ascii="Times New Roman" w:hAnsi="Times New Roman" w:cs="Times New Roman"/>
                <w:sz w:val="24"/>
                <w:szCs w:val="24"/>
              </w:rPr>
              <w:br/>
              <w:t>p. k.</w:t>
            </w:r>
          </w:p>
        </w:tc>
        <w:tc>
          <w:tcPr>
            <w:tcW w:w="8220" w:type="dxa"/>
            <w:vAlign w:val="center"/>
          </w:tcPr>
          <w:p w14:paraId="02689432" w14:textId="77777777" w:rsidR="00CB699B" w:rsidRPr="00CA72E5" w:rsidRDefault="006568C5" w:rsidP="00582F1F">
            <w:pPr>
              <w:spacing w:after="120" w:line="315" w:lineRule="atLeast"/>
              <w:jc w:val="center"/>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Nosaukums</w:t>
            </w:r>
          </w:p>
        </w:tc>
      </w:tr>
      <w:tr w:rsidR="006E14AC" w:rsidRPr="00CA72E5" w14:paraId="6A943874" w14:textId="77777777" w:rsidTr="5528B5C2">
        <w:tc>
          <w:tcPr>
            <w:tcW w:w="841" w:type="dxa"/>
          </w:tcPr>
          <w:p w14:paraId="763B4516"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w:t>
            </w:r>
          </w:p>
        </w:tc>
        <w:tc>
          <w:tcPr>
            <w:tcW w:w="8220" w:type="dxa"/>
          </w:tcPr>
          <w:p w14:paraId="5AD64EA7" w14:textId="79BE1126"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ERC/DEC/(94)01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1994</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24</w:t>
            </w:r>
            <w:r w:rsidR="004A6E54" w:rsidRPr="00CA72E5">
              <w:rPr>
                <w:rFonts w:ascii="Times New Roman" w:eastAsia="Times New Roman" w:hAnsi="Times New Roman" w:cs="Times New Roman"/>
                <w:sz w:val="24"/>
                <w:szCs w:val="24"/>
                <w:lang w:eastAsia="lv-LV"/>
              </w:rPr>
              <w:t xml:space="preserve">. oktobra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 xml:space="preserve">par frekvenču joslām, kuras nosakāmas saskaņotai Viseiropas ciparu sakaru sistēmas GSM ieviešanai </w:t>
            </w:r>
          </w:p>
        </w:tc>
      </w:tr>
      <w:tr w:rsidR="006E14AC" w:rsidRPr="00CA72E5" w14:paraId="108E016A" w14:textId="77777777" w:rsidTr="5528B5C2">
        <w:tc>
          <w:tcPr>
            <w:tcW w:w="841" w:type="dxa"/>
          </w:tcPr>
          <w:p w14:paraId="5346A789"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w:t>
            </w:r>
          </w:p>
        </w:tc>
        <w:tc>
          <w:tcPr>
            <w:tcW w:w="8220" w:type="dxa"/>
          </w:tcPr>
          <w:p w14:paraId="5896141A" w14:textId="5C0FCC6D"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ERC/DEC/(94)03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1994</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24</w:t>
            </w:r>
            <w:r w:rsidR="004A6E54" w:rsidRPr="00CA72E5">
              <w:rPr>
                <w:rFonts w:ascii="Times New Roman" w:eastAsia="Times New Roman" w:hAnsi="Times New Roman" w:cs="Times New Roman"/>
                <w:sz w:val="24"/>
                <w:szCs w:val="24"/>
                <w:lang w:eastAsia="lv-LV"/>
              </w:rPr>
              <w:t xml:space="preserve">. oktobra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par radiofrekvenču joslām, kuras nosakāmas saskaņotai Eiropas ciparu bezauklas telesakaru sistēmas (DECT) ieviešanai</w:t>
            </w:r>
          </w:p>
        </w:tc>
      </w:tr>
      <w:tr w:rsidR="006E14AC" w:rsidRPr="00CA72E5" w14:paraId="6A3B7EF4" w14:textId="77777777" w:rsidTr="5528B5C2">
        <w:tc>
          <w:tcPr>
            <w:tcW w:w="841" w:type="dxa"/>
          </w:tcPr>
          <w:p w14:paraId="32D8FC6D"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w:t>
            </w:r>
          </w:p>
        </w:tc>
        <w:tc>
          <w:tcPr>
            <w:tcW w:w="8220" w:type="dxa"/>
          </w:tcPr>
          <w:p w14:paraId="4958AEEC" w14:textId="018B1C69"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ERC/DEC/(95)03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w:t>
            </w:r>
            <w:r w:rsidR="004A6E54" w:rsidRPr="00CA72E5">
              <w:rPr>
                <w:rFonts w:ascii="Times New Roman" w:eastAsia="Times New Roman" w:hAnsi="Times New Roman" w:cs="Times New Roman"/>
                <w:sz w:val="24"/>
                <w:szCs w:val="24"/>
                <w:lang w:eastAsia="lv-LV"/>
              </w:rPr>
              <w:t xml:space="preserve">. decembra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par radiofrekvenču joslām, kuras nosakāmas saskaņotai DCS 1800 ieviešanai (ciparu šūnu sakaru sistēma 1800 MHz joslā)</w:t>
            </w:r>
          </w:p>
        </w:tc>
      </w:tr>
      <w:tr w:rsidR="006E14AC" w:rsidRPr="00CA72E5" w14:paraId="0842E684" w14:textId="77777777" w:rsidTr="5528B5C2">
        <w:tc>
          <w:tcPr>
            <w:tcW w:w="841" w:type="dxa"/>
          </w:tcPr>
          <w:p w14:paraId="07825413"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w:t>
            </w:r>
          </w:p>
        </w:tc>
        <w:tc>
          <w:tcPr>
            <w:tcW w:w="8220" w:type="dxa"/>
          </w:tcPr>
          <w:p w14:paraId="2DE012ED" w14:textId="41D66D6A"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ERC/DEC/(97)02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1997</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21</w:t>
            </w:r>
            <w:r w:rsidR="004A6E54" w:rsidRPr="00CA72E5">
              <w:rPr>
                <w:rFonts w:ascii="Times New Roman" w:eastAsia="Times New Roman" w:hAnsi="Times New Roman" w:cs="Times New Roman"/>
                <w:sz w:val="24"/>
                <w:szCs w:val="24"/>
                <w:lang w:eastAsia="lv-LV"/>
              </w:rPr>
              <w:t xml:space="preserve">. marta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par paplašinātām radiofrekvenču joslām</w:t>
            </w:r>
            <w:r w:rsidR="00354AB5"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lietošanai Viseiropas ciparu sakaru sistēmai GSM</w:t>
            </w:r>
          </w:p>
        </w:tc>
      </w:tr>
      <w:tr w:rsidR="006E14AC" w:rsidRPr="00CA72E5" w14:paraId="70D54F6F" w14:textId="77777777" w:rsidTr="5528B5C2">
        <w:tc>
          <w:tcPr>
            <w:tcW w:w="841" w:type="dxa"/>
          </w:tcPr>
          <w:p w14:paraId="09921652"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w:t>
            </w:r>
          </w:p>
        </w:tc>
        <w:tc>
          <w:tcPr>
            <w:tcW w:w="8220" w:type="dxa"/>
          </w:tcPr>
          <w:p w14:paraId="446EFC64" w14:textId="6C4DF64B" w:rsidR="00CB699B" w:rsidRPr="00CA72E5" w:rsidRDefault="5F206203">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ERC/DEC/(98)22 </w:t>
            </w:r>
            <w:r w:rsidR="4A08715B"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1998. gada 23. novembra </w:t>
            </w:r>
            <w:r w:rsidR="38560AF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 xml:space="preserve">par DECT iekārtu </w:t>
            </w:r>
            <w:r w:rsidR="004851AB" w:rsidRPr="00CA72E5">
              <w:rPr>
                <w:rFonts w:ascii="Times New Roman" w:eastAsia="Times New Roman" w:hAnsi="Times New Roman" w:cs="Times New Roman"/>
                <w:sz w:val="24"/>
                <w:szCs w:val="24"/>
                <w:lang w:eastAsia="lv-LV"/>
              </w:rPr>
              <w:t xml:space="preserve">izmantošanu, </w:t>
            </w:r>
            <w:r w:rsidR="6F0781B8" w:rsidRPr="00CA72E5">
              <w:rPr>
                <w:rFonts w:ascii="Times New Roman" w:eastAsia="Times New Roman" w:hAnsi="Times New Roman" w:cs="Times New Roman"/>
                <w:sz w:val="24"/>
                <w:szCs w:val="24"/>
                <w:lang w:eastAsia="lv-LV"/>
              </w:rPr>
              <w:t xml:space="preserve">brīvu apriti un </w:t>
            </w:r>
            <w:r w:rsidRPr="00CA72E5">
              <w:rPr>
                <w:rFonts w:ascii="Times New Roman" w:eastAsia="Times New Roman" w:hAnsi="Times New Roman" w:cs="Times New Roman"/>
                <w:sz w:val="24"/>
                <w:szCs w:val="24"/>
                <w:lang w:eastAsia="lv-LV"/>
              </w:rPr>
              <w:t>atbrīvošanu no individuālajām atļaujām (202</w:t>
            </w:r>
            <w:r w:rsidR="1C7E7617" w:rsidRPr="00CA72E5">
              <w:rPr>
                <w:rFonts w:ascii="Times New Roman" w:eastAsia="Times New Roman" w:hAnsi="Times New Roman" w:cs="Times New Roman"/>
                <w:sz w:val="24"/>
                <w:szCs w:val="24"/>
                <w:lang w:eastAsia="lv-LV"/>
              </w:rPr>
              <w:t>4</w:t>
            </w:r>
            <w:r w:rsidR="7336F97A" w:rsidRPr="00CA72E5">
              <w:rPr>
                <w:rFonts w:ascii="Times New Roman" w:eastAsia="Times New Roman" w:hAnsi="Times New Roman" w:cs="Times New Roman"/>
                <w:sz w:val="24"/>
                <w:szCs w:val="24"/>
                <w:lang w:eastAsia="lv-LV"/>
              </w:rPr>
              <w:t xml:space="preserve">. gada </w:t>
            </w:r>
            <w:r w:rsidR="1880C6E7" w:rsidRPr="00CA72E5">
              <w:rPr>
                <w:rFonts w:ascii="Times New Roman" w:eastAsia="Times New Roman" w:hAnsi="Times New Roman" w:cs="Times New Roman"/>
                <w:sz w:val="24"/>
                <w:szCs w:val="24"/>
                <w:lang w:eastAsia="lv-LV"/>
              </w:rPr>
              <w:t>8</w:t>
            </w:r>
            <w:r w:rsidR="7336F97A" w:rsidRPr="00CA72E5">
              <w:rPr>
                <w:rFonts w:ascii="Times New Roman" w:eastAsia="Times New Roman" w:hAnsi="Times New Roman" w:cs="Times New Roman"/>
                <w:sz w:val="24"/>
                <w:szCs w:val="24"/>
                <w:lang w:eastAsia="lv-LV"/>
              </w:rPr>
              <w:t>. </w:t>
            </w:r>
            <w:r w:rsidR="64545AE0" w:rsidRPr="00CA72E5">
              <w:rPr>
                <w:rFonts w:ascii="Times New Roman" w:eastAsia="Times New Roman" w:hAnsi="Times New Roman" w:cs="Times New Roman"/>
                <w:sz w:val="24"/>
                <w:szCs w:val="24"/>
                <w:lang w:eastAsia="lv-LV"/>
              </w:rPr>
              <w:t>marta</w:t>
            </w:r>
            <w:r w:rsidR="7336F97A"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redakcijā)</w:t>
            </w:r>
          </w:p>
        </w:tc>
      </w:tr>
      <w:tr w:rsidR="006E14AC" w:rsidRPr="00CA72E5" w14:paraId="73F46BBF" w14:textId="77777777" w:rsidTr="5528B5C2">
        <w:tc>
          <w:tcPr>
            <w:tcW w:w="841" w:type="dxa"/>
          </w:tcPr>
          <w:p w14:paraId="42553DA0"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w:t>
            </w:r>
          </w:p>
        </w:tc>
        <w:tc>
          <w:tcPr>
            <w:tcW w:w="8220" w:type="dxa"/>
          </w:tcPr>
          <w:p w14:paraId="5B29F6F8" w14:textId="0AA5E22B"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ERC/DEC/(99)05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10</w:t>
            </w:r>
            <w:r w:rsidR="004A6E54" w:rsidRPr="00CA72E5">
              <w:rPr>
                <w:rFonts w:ascii="Times New Roman" w:eastAsia="Times New Roman" w:hAnsi="Times New Roman" w:cs="Times New Roman"/>
                <w:sz w:val="24"/>
                <w:szCs w:val="24"/>
                <w:lang w:eastAsia="lv-LV"/>
              </w:rPr>
              <w:t xml:space="preserve">. marta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par mobilo zemes staciju (S-PCS&lt;1GHz) brīvu apriti, izmantošanu un atbrīvošanu no individuālajām atļaujām</w:t>
            </w:r>
          </w:p>
        </w:tc>
      </w:tr>
      <w:tr w:rsidR="006E14AC" w:rsidRPr="00CA72E5" w14:paraId="2282C7B5" w14:textId="77777777" w:rsidTr="5528B5C2">
        <w:tc>
          <w:tcPr>
            <w:tcW w:w="841" w:type="dxa"/>
          </w:tcPr>
          <w:p w14:paraId="02D66E8F" w14:textId="77777777" w:rsidR="00CB699B" w:rsidRPr="00CA72E5" w:rsidRDefault="00076A2D">
            <w:pPr>
              <w:spacing w:after="120" w:line="240" w:lineRule="auto"/>
              <w:rPr>
                <w:rFonts w:ascii="Times New Roman" w:eastAsia="Times New Roman" w:hAnsi="Times New Roman" w:cs="Times New Roman"/>
                <w:sz w:val="24"/>
                <w:szCs w:val="24"/>
              </w:rPr>
            </w:pPr>
            <w:r w:rsidRPr="00CA72E5">
              <w:rPr>
                <w:rFonts w:ascii="Times New Roman" w:eastAsia="Times New Roman" w:hAnsi="Times New Roman" w:cs="Times New Roman"/>
                <w:sz w:val="24"/>
                <w:szCs w:val="24"/>
                <w:lang w:eastAsia="lv-LV"/>
              </w:rPr>
              <w:t>2.7.</w:t>
            </w:r>
          </w:p>
        </w:tc>
        <w:tc>
          <w:tcPr>
            <w:tcW w:w="8220" w:type="dxa"/>
          </w:tcPr>
          <w:p w14:paraId="775C1446" w14:textId="2E49F70A" w:rsidR="00CF6AC8" w:rsidRPr="00CA72E5" w:rsidRDefault="00076A2D" w:rsidP="00A50C08">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ERC/DEC/(99)06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ERC 1999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10</w:t>
            </w:r>
            <w:r w:rsidR="004A6E54" w:rsidRPr="00CA72E5">
              <w:rPr>
                <w:rFonts w:ascii="Times New Roman" w:eastAsia="Times New Roman" w:hAnsi="Times New Roman" w:cs="Times New Roman"/>
                <w:sz w:val="24"/>
                <w:szCs w:val="24"/>
                <w:lang w:eastAsia="lv-LV"/>
              </w:rPr>
              <w:t xml:space="preserve">. marta </w:t>
            </w:r>
            <w:r w:rsidR="0071686D" w:rsidRPr="00CA72E5">
              <w:rPr>
                <w:rFonts w:ascii="Times New Roman" w:eastAsia="Times New Roman" w:hAnsi="Times New Roman" w:cs="Times New Roman"/>
                <w:sz w:val="24"/>
                <w:szCs w:val="24"/>
                <w:lang w:eastAsia="lv-LV"/>
              </w:rPr>
              <w:t xml:space="preserve">Lēmums </w:t>
            </w:r>
            <w:r w:rsidRPr="00CA72E5">
              <w:rPr>
                <w:rFonts w:ascii="Times New Roman" w:eastAsia="Times New Roman" w:hAnsi="Times New Roman" w:cs="Times New Roman"/>
                <w:sz w:val="24"/>
                <w:szCs w:val="24"/>
                <w:lang w:eastAsia="lv-LV"/>
              </w:rPr>
              <w:t>par satelītu personālo sakaru sistēmu, kuras darbojas joslās zem 1 GHz (S-PCS&lt;1GHz), saskaņotu ieviešanu (202</w:t>
            </w:r>
            <w:r w:rsidR="6E7797C1" w:rsidRPr="00CA72E5">
              <w:rPr>
                <w:rFonts w:ascii="Times New Roman" w:eastAsia="Times New Roman" w:hAnsi="Times New Roman" w:cs="Times New Roman"/>
                <w:sz w:val="24"/>
                <w:szCs w:val="24"/>
                <w:lang w:eastAsia="lv-LV"/>
              </w:rPr>
              <w:t>5</w:t>
            </w:r>
            <w:r w:rsidR="004A6E54" w:rsidRPr="00CA72E5">
              <w:rPr>
                <w:rFonts w:ascii="Times New Roman" w:eastAsia="Times New Roman" w:hAnsi="Times New Roman" w:cs="Times New Roman"/>
                <w:sz w:val="24"/>
                <w:szCs w:val="24"/>
                <w:lang w:eastAsia="lv-LV"/>
              </w:rPr>
              <w:t xml:space="preserve">. gada </w:t>
            </w:r>
            <w:r w:rsidR="00401B50" w:rsidRPr="00CA72E5">
              <w:rPr>
                <w:rFonts w:ascii="Times New Roman" w:eastAsia="Times New Roman" w:hAnsi="Times New Roman" w:cs="Times New Roman"/>
                <w:sz w:val="24"/>
                <w:szCs w:val="24"/>
                <w:lang w:eastAsia="lv-LV"/>
              </w:rPr>
              <w:t>7</w:t>
            </w:r>
            <w:r w:rsidR="004A6E54" w:rsidRPr="00CA72E5">
              <w:rPr>
                <w:rFonts w:ascii="Times New Roman" w:eastAsia="Times New Roman" w:hAnsi="Times New Roman" w:cs="Times New Roman"/>
                <w:sz w:val="24"/>
                <w:szCs w:val="24"/>
                <w:lang w:eastAsia="lv-LV"/>
              </w:rPr>
              <w:t xml:space="preserve">. marta </w:t>
            </w:r>
            <w:r w:rsidRPr="00CA72E5">
              <w:rPr>
                <w:rFonts w:ascii="Times New Roman" w:eastAsia="Times New Roman" w:hAnsi="Times New Roman" w:cs="Times New Roman"/>
                <w:sz w:val="24"/>
                <w:szCs w:val="24"/>
                <w:lang w:eastAsia="lv-LV"/>
              </w:rPr>
              <w:t>redakcijā)</w:t>
            </w:r>
          </w:p>
        </w:tc>
      </w:tr>
      <w:tr w:rsidR="0090548A" w:rsidRPr="00CA72E5" w14:paraId="12645A84" w14:textId="77777777" w:rsidTr="5528B5C2">
        <w:tc>
          <w:tcPr>
            <w:tcW w:w="841" w:type="dxa"/>
          </w:tcPr>
          <w:p w14:paraId="0E342221"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2.8.</w:t>
            </w:r>
          </w:p>
        </w:tc>
        <w:tc>
          <w:tcPr>
            <w:tcW w:w="8220" w:type="dxa"/>
          </w:tcPr>
          <w:p w14:paraId="010E0862" w14:textId="141AE923" w:rsidR="0090548A" w:rsidRPr="00CA72E5" w:rsidRDefault="000D41E1"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w:t>
            </w:r>
            <w:r w:rsidR="00C4515A" w:rsidRPr="00CA72E5">
              <w:rPr>
                <w:rFonts w:ascii="Times New Roman" w:hAnsi="Times New Roman" w:cs="Times New Roman"/>
                <w:color w:val="000000"/>
                <w:sz w:val="24"/>
                <w:szCs w:val="24"/>
                <w:shd w:val="clear" w:color="auto" w:fill="FFFFFF"/>
              </w:rPr>
              <w:t>Svītrots ar MK </w:t>
            </w:r>
            <w:r w:rsidR="00C4515A" w:rsidRPr="00CA72E5">
              <w:rPr>
                <w:rFonts w:ascii="Times New Roman" w:eastAsia="Times New Roman" w:hAnsi="Times New Roman" w:cs="Times New Roman"/>
                <w:color w:val="333333"/>
                <w:sz w:val="24"/>
                <w:szCs w:val="24"/>
                <w:lang w:eastAsia="en-GB"/>
              </w:rPr>
              <w:t xml:space="preserve">2024. gada 15. oktobra </w:t>
            </w:r>
            <w:r w:rsidR="00C4515A" w:rsidRPr="00CA72E5">
              <w:rPr>
                <w:rFonts w:ascii="Times New Roman" w:hAnsi="Times New Roman" w:cs="Times New Roman"/>
                <w:color w:val="000000"/>
                <w:sz w:val="24"/>
                <w:szCs w:val="24"/>
                <w:shd w:val="clear" w:color="auto" w:fill="FFFFFF"/>
              </w:rPr>
              <w:t>noteikumiem Nr. </w:t>
            </w:r>
            <w:r w:rsidR="00C4515A" w:rsidRPr="00CA72E5">
              <w:rPr>
                <w:rFonts w:ascii="Times New Roman" w:eastAsia="Times New Roman" w:hAnsi="Times New Roman" w:cs="Times New Roman"/>
                <w:color w:val="333333"/>
                <w:sz w:val="24"/>
                <w:szCs w:val="24"/>
                <w:lang w:eastAsia="en-GB"/>
              </w:rPr>
              <w:t>646)</w:t>
            </w:r>
          </w:p>
        </w:tc>
      </w:tr>
      <w:tr w:rsidR="0090548A" w:rsidRPr="00CA72E5" w14:paraId="076818EA" w14:textId="77777777" w:rsidTr="5528B5C2">
        <w:tc>
          <w:tcPr>
            <w:tcW w:w="841" w:type="dxa"/>
          </w:tcPr>
          <w:p w14:paraId="2EF1354D"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2.9.</w:t>
            </w:r>
          </w:p>
        </w:tc>
        <w:tc>
          <w:tcPr>
            <w:tcW w:w="8220" w:type="dxa"/>
          </w:tcPr>
          <w:p w14:paraId="7696848D" w14:textId="50141906"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ERC/DEC/(00)02 – ERC 2000. gada 27. marta Lēmums par 37,5–39,5 GHz radiofrekvenču joslas izmantošanu fiksētajā dienestā un Zemes stacijām fiksētajā satelītu dienestā (izplatījums–Zeme) un 39,5 – 40,5 GHz radiofrekvenču joslas izmantošanu Zemes stacijām fiksētajā satelītu dienestā (izplatījums–Zeme) un mobilajā satelītu dienestā (izplatījums–Zeme) </w:t>
            </w:r>
            <w:r w:rsidRPr="00CA72E5">
              <w:rPr>
                <w:color w:val="0078D4"/>
                <w:bdr w:val="none" w:sz="0" w:space="0" w:color="auto" w:frame="1"/>
              </w:rPr>
              <w:t xml:space="preserve"> </w:t>
            </w:r>
            <w:r w:rsidRPr="00CA72E5">
              <w:rPr>
                <w:bdr w:val="none" w:sz="0" w:space="0" w:color="auto" w:frame="1"/>
              </w:rPr>
              <w:t>(</w:t>
            </w:r>
            <w:r w:rsidRPr="00CA72E5">
              <w:rPr>
                <w:rFonts w:ascii="Times New Roman" w:eastAsia="Times New Roman" w:hAnsi="Times New Roman" w:cs="Times New Roman"/>
                <w:sz w:val="24"/>
                <w:szCs w:val="24"/>
                <w:lang w:eastAsia="lv-LV"/>
              </w:rPr>
              <w:t>2022. g. 4. marta redakcijā)</w:t>
            </w:r>
          </w:p>
        </w:tc>
      </w:tr>
      <w:tr w:rsidR="0090548A" w:rsidRPr="00CA72E5" w14:paraId="2149951B" w14:textId="77777777" w:rsidTr="5528B5C2">
        <w:tc>
          <w:tcPr>
            <w:tcW w:w="841" w:type="dxa"/>
          </w:tcPr>
          <w:p w14:paraId="3F90724B"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2.10.</w:t>
            </w:r>
          </w:p>
        </w:tc>
        <w:tc>
          <w:tcPr>
            <w:tcW w:w="8220" w:type="dxa"/>
          </w:tcPr>
          <w:p w14:paraId="237D844F" w14:textId="0202351C"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ERC/DEC/(00)07 – ERC 2000. gada 19. oktobra Lēmums par 17,7–19,7 GHz radiofrekvenču joslas koplietošanu fiksētā dienesta un fiksētā satelītu dienesta (izplatījums–Zeme) Zemes stacijām (2016. gada 4. marta redakcijā)</w:t>
            </w:r>
          </w:p>
        </w:tc>
      </w:tr>
      <w:tr w:rsidR="0090548A" w:rsidRPr="00CA72E5" w14:paraId="737EB886" w14:textId="77777777" w:rsidTr="5528B5C2">
        <w:tc>
          <w:tcPr>
            <w:tcW w:w="841" w:type="dxa"/>
          </w:tcPr>
          <w:p w14:paraId="1EE9EE7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2.11.</w:t>
            </w:r>
          </w:p>
        </w:tc>
        <w:tc>
          <w:tcPr>
            <w:tcW w:w="8220" w:type="dxa"/>
          </w:tcPr>
          <w:p w14:paraId="0F6D69C1" w14:textId="2988DABD"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ERC/DEC/(00)08 – ERC 2000. gada 19. oktobra Lēmums par 10,7–12,5 GHz radiofrekvenču joslas izmantošanu fiksētā dienesta stacijām un apraides satelītu dienesta un fiksētā satelītu dienesta (izplatījums–Zeme) Zemes stacijām</w:t>
            </w:r>
          </w:p>
        </w:tc>
      </w:tr>
      <w:tr w:rsidR="0090548A" w:rsidRPr="00CA72E5" w14:paraId="2AB679C7" w14:textId="77777777" w:rsidTr="5528B5C2">
        <w:tc>
          <w:tcPr>
            <w:tcW w:w="841" w:type="dxa"/>
          </w:tcPr>
          <w:p w14:paraId="5F79DB59" w14:textId="77777777" w:rsidR="0090548A" w:rsidRPr="00CA72E5" w:rsidRDefault="0090548A" w:rsidP="0090548A">
            <w:pPr>
              <w:spacing w:after="120" w:line="240" w:lineRule="auto"/>
              <w:rPr>
                <w:rFonts w:ascii="Times New Roman" w:eastAsia="Times New Roman" w:hAnsi="Times New Roman" w:cs="Times New Roman"/>
                <w:sz w:val="24"/>
                <w:szCs w:val="24"/>
              </w:rPr>
            </w:pPr>
            <w:r w:rsidRPr="00CA72E5">
              <w:rPr>
                <w:rFonts w:ascii="Times New Roman" w:eastAsia="Times New Roman" w:hAnsi="Times New Roman" w:cs="Times New Roman"/>
                <w:sz w:val="24"/>
                <w:szCs w:val="24"/>
                <w:lang w:eastAsia="lv-LV"/>
              </w:rPr>
              <w:t>2.12.</w:t>
            </w:r>
          </w:p>
        </w:tc>
        <w:tc>
          <w:tcPr>
            <w:tcW w:w="8220" w:type="dxa"/>
          </w:tcPr>
          <w:p w14:paraId="60E0CA1C" w14:textId="32DB77B4"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ERC/DEC/(01)11 – ERC 2001. gada 12. marta Lēmums par 34,995–35,225 MHz radiofrekvenču joslā darbojošos maza darbības attāluma lidmodeļu vadības ierīču harmonizētajām radiofrekvencēm, tehniskajiem parametriem un atbrīvošanu no individuālajām atļaujām (2022. gada 10. jūnija redakcijā)</w:t>
            </w:r>
          </w:p>
        </w:tc>
      </w:tr>
      <w:tr w:rsidR="0090548A" w:rsidRPr="00CA72E5" w14:paraId="07F5E97F" w14:textId="77777777" w:rsidTr="5528B5C2">
        <w:tc>
          <w:tcPr>
            <w:tcW w:w="841" w:type="dxa"/>
          </w:tcPr>
          <w:p w14:paraId="356A8675" w14:textId="77777777" w:rsidR="0090548A" w:rsidRPr="00CA72E5" w:rsidRDefault="0090548A" w:rsidP="0090548A">
            <w:pPr>
              <w:spacing w:after="120" w:line="240" w:lineRule="auto"/>
              <w:rPr>
                <w:rFonts w:ascii="Times New Roman" w:eastAsia="Times New Roman" w:hAnsi="Times New Roman" w:cs="Times New Roman"/>
                <w:sz w:val="24"/>
                <w:szCs w:val="24"/>
              </w:rPr>
            </w:pPr>
            <w:r w:rsidRPr="00CA72E5">
              <w:rPr>
                <w:rFonts w:ascii="Times New Roman" w:eastAsia="Times New Roman" w:hAnsi="Times New Roman" w:cs="Times New Roman"/>
                <w:sz w:val="24"/>
                <w:szCs w:val="24"/>
                <w:lang w:eastAsia="lv-LV"/>
              </w:rPr>
              <w:t>2.13.</w:t>
            </w:r>
          </w:p>
        </w:tc>
        <w:tc>
          <w:tcPr>
            <w:tcW w:w="8220" w:type="dxa"/>
          </w:tcPr>
          <w:p w14:paraId="52B51510" w14:textId="288C0338"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ERC/DEC/(01)12 – ERC 2001. gada 12. marta Lēmums par 40,665 MHz, 40,675 MHz, 40,685 MHz un 40,695 MHz radiofrekvencēs darbojošos maza darbības attāluma modeļu vadības ierīču harmonizētajām radiofrekvencēm, tehniskajiem parametriem un atbrīvošanu no individuālajām atļaujām (2022. gada 10. jūnija redakcijā)</w:t>
            </w:r>
          </w:p>
        </w:tc>
      </w:tr>
      <w:tr w:rsidR="0090548A" w:rsidRPr="00CA72E5" w14:paraId="184F0ECB" w14:textId="77777777" w:rsidTr="5528B5C2">
        <w:tc>
          <w:tcPr>
            <w:tcW w:w="841" w:type="dxa"/>
          </w:tcPr>
          <w:p w14:paraId="000B6915"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2.14.</w:t>
            </w:r>
          </w:p>
        </w:tc>
        <w:tc>
          <w:tcPr>
            <w:tcW w:w="8220" w:type="dxa"/>
          </w:tcPr>
          <w:p w14:paraId="50CB0A18" w14:textId="43C91A61"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ERC/DEC/(01)17 – ERC 2001. gada 12. marta </w:t>
            </w:r>
            <w:bookmarkStart w:id="0" w:name="_Hlk144113026"/>
            <w:r w:rsidRPr="00CA72E5">
              <w:rPr>
                <w:rFonts w:ascii="Times New Roman" w:eastAsia="Times New Roman" w:hAnsi="Times New Roman" w:cs="Times New Roman"/>
                <w:sz w:val="24"/>
                <w:szCs w:val="24"/>
                <w:lang w:eastAsia="lv-LV"/>
              </w:rPr>
              <w:t>Lēmums par sevišķi mazas jaudas aktīvo medicīnisko implantu harmonizētajām radiofrekvencēm, tehniskajiem parametriem un atbrīvošanu no individuālajām atļaujām, kas 401–406 MHz radiofrekvenču joslā darbojas uz sekundāriem nosacījumiem</w:t>
            </w:r>
            <w:bookmarkEnd w:id="0"/>
            <w:r w:rsidRPr="00CA72E5">
              <w:rPr>
                <w:rFonts w:ascii="Times New Roman" w:eastAsia="Times New Roman" w:hAnsi="Times New Roman" w:cs="Times New Roman"/>
                <w:sz w:val="24"/>
                <w:szCs w:val="24"/>
                <w:lang w:eastAsia="lv-LV"/>
              </w:rPr>
              <w:t xml:space="preserve"> (2022. gada 10. jūnija redakcijā)</w:t>
            </w:r>
          </w:p>
        </w:tc>
      </w:tr>
      <w:tr w:rsidR="0090548A" w:rsidRPr="00CA72E5" w14:paraId="25C082E2" w14:textId="77777777" w:rsidTr="5528B5C2">
        <w:tc>
          <w:tcPr>
            <w:tcW w:w="841" w:type="dxa"/>
          </w:tcPr>
          <w:p w14:paraId="2BF73B38"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2.15.</w:t>
            </w:r>
          </w:p>
        </w:tc>
        <w:tc>
          <w:tcPr>
            <w:tcW w:w="8220" w:type="dxa"/>
          </w:tcPr>
          <w:p w14:paraId="46A79308" w14:textId="540276FD" w:rsidR="0090548A" w:rsidRPr="00CA72E5" w:rsidRDefault="000D41E1"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w:t>
            </w:r>
            <w:r w:rsidR="008C39F6" w:rsidRPr="00CA72E5">
              <w:rPr>
                <w:rFonts w:ascii="Times New Roman" w:hAnsi="Times New Roman" w:cs="Times New Roman"/>
                <w:color w:val="000000"/>
                <w:sz w:val="24"/>
                <w:szCs w:val="24"/>
                <w:shd w:val="clear" w:color="auto" w:fill="FFFFFF"/>
              </w:rPr>
              <w:t>Svītrots ar MK </w:t>
            </w:r>
            <w:r w:rsidR="008C39F6" w:rsidRPr="00CA72E5">
              <w:rPr>
                <w:rFonts w:ascii="Times New Roman" w:eastAsia="Times New Roman" w:hAnsi="Times New Roman" w:cs="Times New Roman"/>
                <w:color w:val="333333"/>
                <w:sz w:val="24"/>
                <w:szCs w:val="24"/>
                <w:lang w:eastAsia="en-GB"/>
              </w:rPr>
              <w:t xml:space="preserve">2024. gada 15. oktobra </w:t>
            </w:r>
            <w:r w:rsidR="008C39F6" w:rsidRPr="00CA72E5">
              <w:rPr>
                <w:rFonts w:ascii="Times New Roman" w:hAnsi="Times New Roman" w:cs="Times New Roman"/>
                <w:color w:val="000000"/>
                <w:sz w:val="24"/>
                <w:szCs w:val="24"/>
                <w:shd w:val="clear" w:color="auto" w:fill="FFFFFF"/>
              </w:rPr>
              <w:t>noteikumiem Nr. </w:t>
            </w:r>
            <w:r w:rsidR="008C39F6" w:rsidRPr="00CA72E5">
              <w:rPr>
                <w:rFonts w:ascii="Times New Roman" w:eastAsia="Times New Roman" w:hAnsi="Times New Roman" w:cs="Times New Roman"/>
                <w:color w:val="333333"/>
                <w:sz w:val="24"/>
                <w:szCs w:val="24"/>
                <w:lang w:eastAsia="en-GB"/>
              </w:rPr>
              <w:t>646</w:t>
            </w:r>
            <w:r w:rsidRPr="00CA72E5">
              <w:rPr>
                <w:rFonts w:ascii="Times New Roman" w:eastAsia="Times New Roman" w:hAnsi="Times New Roman"/>
                <w:sz w:val="24"/>
                <w:szCs w:val="24"/>
                <w:lang w:eastAsia="en-GB"/>
              </w:rPr>
              <w:t>)</w:t>
            </w:r>
          </w:p>
        </w:tc>
      </w:tr>
      <w:tr w:rsidR="0090548A" w:rsidRPr="00CA72E5" w14:paraId="6200FF4A" w14:textId="77777777" w:rsidTr="5528B5C2">
        <w:tc>
          <w:tcPr>
            <w:tcW w:w="841" w:type="dxa"/>
          </w:tcPr>
          <w:p w14:paraId="6569DDE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2.16.</w:t>
            </w:r>
          </w:p>
        </w:tc>
        <w:tc>
          <w:tcPr>
            <w:tcW w:w="8220" w:type="dxa"/>
          </w:tcPr>
          <w:p w14:paraId="2973FEC1" w14:textId="4FA627B8"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ECC/DEC/(03)04 – ECC 2003. gada 17. oktobra Lēmums par satelītu galiekārtu ar ļoti mazu antenas atvērumu (VSAT), kuras darbojas radiofrekvenču joslās 14,25–14,50 GHz (Zeme–izplatījums) un 10,70–11,70 GHz (izplatījums–Zeme), atbrīvošanu no individuālajām atļaujām (2019. gada 8. marta redakcijā)</w:t>
            </w:r>
            <w:r w:rsidR="008C39F6" w:rsidRPr="00CA72E5">
              <w:rPr>
                <w:rFonts w:ascii="Times New Roman" w:eastAsia="Times New Roman" w:hAnsi="Times New Roman" w:cs="Times New Roman"/>
                <w:sz w:val="24"/>
                <w:szCs w:val="24"/>
                <w:lang w:eastAsia="lv-LV"/>
              </w:rPr>
              <w:t xml:space="preserve"> </w:t>
            </w:r>
          </w:p>
        </w:tc>
      </w:tr>
      <w:tr w:rsidR="0090548A" w:rsidRPr="00CA72E5" w14:paraId="2E44251A" w14:textId="77777777" w:rsidTr="5528B5C2">
        <w:tc>
          <w:tcPr>
            <w:tcW w:w="841" w:type="dxa"/>
          </w:tcPr>
          <w:p w14:paraId="5B4E972B"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2.17.</w:t>
            </w:r>
          </w:p>
        </w:tc>
        <w:tc>
          <w:tcPr>
            <w:tcW w:w="8220" w:type="dxa"/>
          </w:tcPr>
          <w:p w14:paraId="710A2BED" w14:textId="5002F8A3"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ECC/DEC/(04)03 – ECC 2004. gada 19. marta Lēmums par 77–81 GHz radiofrekvenču joslu, kura nosakāma maza darbības attāluma autotransporta radariem (2015. gada 6. marta redakcijā)</w:t>
            </w:r>
          </w:p>
        </w:tc>
      </w:tr>
      <w:tr w:rsidR="0090548A" w:rsidRPr="00CA72E5" w14:paraId="6AFB02DC" w14:textId="77777777" w:rsidTr="5528B5C2">
        <w:tc>
          <w:tcPr>
            <w:tcW w:w="841" w:type="dxa"/>
          </w:tcPr>
          <w:p w14:paraId="07500F9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2.18.</w:t>
            </w:r>
          </w:p>
        </w:tc>
        <w:tc>
          <w:tcPr>
            <w:tcW w:w="8220" w:type="dxa"/>
          </w:tcPr>
          <w:p w14:paraId="2573EA94" w14:textId="557AC331"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ECC/DEC/(04)08 – ECC 2004. gada 12. novembra Lēmums par 5 GHz frekvenču joslas harmonizētu izmantošanu bezvadu piekļuves sistēmām, ieskaitot bezvadu lokālos tīklus (WAS/RLAN) (2022. gada 1. jūlija redakcijā)</w:t>
            </w:r>
          </w:p>
        </w:tc>
      </w:tr>
      <w:tr w:rsidR="0090548A" w:rsidRPr="00CA72E5" w14:paraId="12825162" w14:textId="77777777" w:rsidTr="5528B5C2">
        <w:tc>
          <w:tcPr>
            <w:tcW w:w="841" w:type="dxa"/>
          </w:tcPr>
          <w:p w14:paraId="3AA99C9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2.19.</w:t>
            </w:r>
          </w:p>
        </w:tc>
        <w:tc>
          <w:tcPr>
            <w:tcW w:w="8220" w:type="dxa"/>
          </w:tcPr>
          <w:p w14:paraId="17EA4C6B" w14:textId="19BA677B"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ECC/DEC/(04)09 – ECC 2004. gada 12. novembra Lēmums par 1518–1525 MHz un 1670–1675 MHz radiofrekvenču joslu noteikšanu mobilā satelītu dienesta sistēmām (2009. gada 26. jūnija redakcijā)</w:t>
            </w:r>
          </w:p>
        </w:tc>
      </w:tr>
      <w:tr w:rsidR="0090548A" w:rsidRPr="00CA72E5" w14:paraId="52605A7B" w14:textId="77777777" w:rsidTr="5528B5C2">
        <w:tc>
          <w:tcPr>
            <w:tcW w:w="841" w:type="dxa"/>
          </w:tcPr>
          <w:p w14:paraId="2C78CC08" w14:textId="77777777" w:rsidR="0090548A" w:rsidRPr="00CA72E5" w:rsidRDefault="0090548A" w:rsidP="0090548A">
            <w:pPr>
              <w:spacing w:after="120" w:line="240" w:lineRule="auto"/>
              <w:rPr>
                <w:rFonts w:ascii="Times New Roman" w:eastAsia="Times New Roman" w:hAnsi="Times New Roman" w:cs="Times New Roman"/>
                <w:sz w:val="24"/>
                <w:szCs w:val="24"/>
              </w:rPr>
            </w:pPr>
            <w:r w:rsidRPr="00CA72E5">
              <w:rPr>
                <w:rFonts w:ascii="Times New Roman" w:eastAsia="Times New Roman" w:hAnsi="Times New Roman" w:cs="Times New Roman"/>
                <w:sz w:val="24"/>
                <w:szCs w:val="24"/>
                <w:lang w:eastAsia="lv-LV"/>
              </w:rPr>
              <w:t>2.20.</w:t>
            </w:r>
          </w:p>
        </w:tc>
        <w:tc>
          <w:tcPr>
            <w:tcW w:w="8220" w:type="dxa"/>
          </w:tcPr>
          <w:p w14:paraId="313827EC" w14:textId="2C45D192"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ECC/DEC/(04)10 – ECC 2004. gada 12. novembra Lēmums par frekvenču joslām automobiļu tuvdarbības radaru (SRR) ieviešanai uz laiku (2022. gada 4. marta redakcijā)</w:t>
            </w:r>
          </w:p>
        </w:tc>
      </w:tr>
      <w:tr w:rsidR="0090548A" w:rsidRPr="00CA72E5" w14:paraId="7E092A92" w14:textId="77777777" w:rsidTr="5528B5C2">
        <w:tc>
          <w:tcPr>
            <w:tcW w:w="841" w:type="dxa"/>
          </w:tcPr>
          <w:p w14:paraId="557C010A"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2.21.</w:t>
            </w:r>
          </w:p>
        </w:tc>
        <w:tc>
          <w:tcPr>
            <w:tcW w:w="8220" w:type="dxa"/>
          </w:tcPr>
          <w:p w14:paraId="1140CD1A" w14:textId="36EF434C"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ECC/DEC/(05)01 – ECC 2005. gada 18. marta Lēmums par 27,5–29,5 GHz radiofrekvenču joslas izmantošanu fiksētajā dienestā un nekoordinētajām Zemes </w:t>
            </w:r>
            <w:r w:rsidRPr="00CA72E5">
              <w:rPr>
                <w:rFonts w:ascii="Times New Roman" w:eastAsia="Times New Roman" w:hAnsi="Times New Roman" w:cs="Times New Roman"/>
                <w:sz w:val="24"/>
                <w:szCs w:val="24"/>
                <w:lang w:eastAsia="lv-LV"/>
              </w:rPr>
              <w:lastRenderedPageBreak/>
              <w:t>stacijām fiksētajā satelītu dienestā (Zeme–izplatījums) (2019. gada 8. marta redakcijā)</w:t>
            </w:r>
          </w:p>
        </w:tc>
      </w:tr>
      <w:tr w:rsidR="0090548A" w:rsidRPr="00CA72E5" w14:paraId="74F4E7CA" w14:textId="77777777" w:rsidTr="5528B5C2">
        <w:tc>
          <w:tcPr>
            <w:tcW w:w="841" w:type="dxa"/>
          </w:tcPr>
          <w:p w14:paraId="40B311DC"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2.22.</w:t>
            </w:r>
          </w:p>
        </w:tc>
        <w:tc>
          <w:tcPr>
            <w:tcW w:w="8220" w:type="dxa"/>
          </w:tcPr>
          <w:p w14:paraId="30C0F146" w14:textId="0C2949DC" w:rsidR="0090548A" w:rsidRPr="00CA72E5" w:rsidRDefault="71640F3D"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ECC/DEC/(05)02 – ECC 2005. gada 18. marta Lēmums par 169,4–169,8125 MHz radiofrekvenču joslas izmantošanu (20</w:t>
            </w:r>
            <w:r w:rsidR="0330F282" w:rsidRPr="00CA72E5">
              <w:rPr>
                <w:rFonts w:ascii="Times New Roman" w:eastAsia="Times New Roman" w:hAnsi="Times New Roman" w:cs="Times New Roman"/>
                <w:sz w:val="24"/>
                <w:szCs w:val="24"/>
                <w:lang w:eastAsia="lv-LV"/>
              </w:rPr>
              <w:t>24</w:t>
            </w:r>
            <w:r w:rsidRPr="00CA72E5">
              <w:rPr>
                <w:rFonts w:ascii="Times New Roman" w:eastAsia="Times New Roman" w:hAnsi="Times New Roman" w:cs="Times New Roman"/>
                <w:sz w:val="24"/>
                <w:szCs w:val="24"/>
                <w:lang w:eastAsia="lv-LV"/>
              </w:rPr>
              <w:t xml:space="preserve">. gada </w:t>
            </w:r>
            <w:r w:rsidR="7EEAAB30"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 </w:t>
            </w:r>
            <w:r w:rsidR="6FAFA924" w:rsidRPr="00CA72E5">
              <w:rPr>
                <w:rFonts w:ascii="Times New Roman" w:eastAsia="Times New Roman" w:hAnsi="Times New Roman" w:cs="Times New Roman"/>
                <w:sz w:val="24"/>
                <w:szCs w:val="24"/>
                <w:lang w:eastAsia="lv-LV"/>
              </w:rPr>
              <w:t>marta</w:t>
            </w:r>
            <w:r w:rsidRPr="00CA72E5">
              <w:rPr>
                <w:rFonts w:ascii="Times New Roman" w:eastAsia="Times New Roman" w:hAnsi="Times New Roman" w:cs="Times New Roman"/>
                <w:sz w:val="24"/>
                <w:szCs w:val="24"/>
                <w:lang w:eastAsia="lv-LV"/>
              </w:rPr>
              <w:t xml:space="preserve"> redakcijā)</w:t>
            </w:r>
          </w:p>
        </w:tc>
      </w:tr>
      <w:tr w:rsidR="0090548A" w:rsidRPr="00CA72E5" w14:paraId="6D30326C" w14:textId="77777777" w:rsidTr="5528B5C2">
        <w:tc>
          <w:tcPr>
            <w:tcW w:w="841" w:type="dxa"/>
          </w:tcPr>
          <w:p w14:paraId="726D16A8"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2.23.</w:t>
            </w:r>
          </w:p>
        </w:tc>
        <w:tc>
          <w:tcPr>
            <w:tcW w:w="8220" w:type="dxa"/>
          </w:tcPr>
          <w:p w14:paraId="5E0B28FC" w14:textId="3D52E887" w:rsidR="0090548A" w:rsidRPr="00CA72E5" w:rsidRDefault="71640F3D"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ECC/DEC/(05)05 – ECC 2005. gada 18. marta Lēmums par harmonizētu spektra </w:t>
            </w:r>
            <w:r w:rsidRPr="00CA72E5">
              <w:rPr>
                <w:rFonts w:ascii="Times New Roman" w:eastAsia="Times New Roman" w:hAnsi="Times New Roman" w:cs="Times New Roman"/>
                <w:spacing w:val="-2"/>
                <w:sz w:val="24"/>
                <w:szCs w:val="24"/>
                <w:lang w:eastAsia="lv-LV"/>
              </w:rPr>
              <w:t>izmantošanu mobilo/fiksēto sakaru tīkliem (MFCN), kas darbojas 2500–2690 MHz</w:t>
            </w:r>
            <w:r w:rsidRPr="00CA72E5">
              <w:rPr>
                <w:rFonts w:ascii="Times New Roman" w:eastAsia="Times New Roman" w:hAnsi="Times New Roman" w:cs="Times New Roman"/>
                <w:sz w:val="24"/>
                <w:szCs w:val="24"/>
                <w:lang w:eastAsia="lv-LV"/>
              </w:rPr>
              <w:t xml:space="preserve"> joslā (2022. gada 4. marta redakcijā)</w:t>
            </w:r>
          </w:p>
        </w:tc>
      </w:tr>
      <w:tr w:rsidR="0090548A" w:rsidRPr="00CA72E5" w14:paraId="47CAD1E4" w14:textId="77777777" w:rsidTr="5528B5C2">
        <w:tc>
          <w:tcPr>
            <w:tcW w:w="841" w:type="dxa"/>
          </w:tcPr>
          <w:p w14:paraId="6D0B4222"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2.24.</w:t>
            </w:r>
          </w:p>
        </w:tc>
        <w:tc>
          <w:tcPr>
            <w:tcW w:w="8220" w:type="dxa"/>
          </w:tcPr>
          <w:p w14:paraId="63F4F794" w14:textId="5839E42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ECC/DEC/(05)08 – ECC 2005. gada 24. jūnija Lēmums par radiofrekvenču joslu pieejamību augsta blīvuma lietojumiem fiksētajā satelītu dienestā (virzienos izplatījums–Zeme un Zeme–izplatījums) (2022. gada 18. novembra redakcijā)</w:t>
            </w:r>
          </w:p>
        </w:tc>
      </w:tr>
      <w:tr w:rsidR="0090548A" w:rsidRPr="00CA72E5" w14:paraId="6FBD09FD" w14:textId="77777777" w:rsidTr="5528B5C2">
        <w:tc>
          <w:tcPr>
            <w:tcW w:w="841" w:type="dxa"/>
          </w:tcPr>
          <w:p w14:paraId="4AE2EB99"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2.25.</w:t>
            </w:r>
          </w:p>
        </w:tc>
        <w:tc>
          <w:tcPr>
            <w:tcW w:w="8220" w:type="dxa"/>
          </w:tcPr>
          <w:p w14:paraId="7E752944" w14:textId="33B0DD23"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ECC/DEC/(05)09 – ECC 2005. gada 24. jūnija Lēmums par kuģu Zemes staciju, kas darbojas fiksētā satelītu dienesta tīklos radiofrekvenču joslās 5925–6425 MHz (Zeme–izplatījums) un 3700–4200 MHz (izplatījums–Zeme), brīvu apriti un izmantošanu (2019. gada 8. marta redakcijā)</w:t>
            </w:r>
          </w:p>
        </w:tc>
      </w:tr>
      <w:tr w:rsidR="0090548A" w:rsidRPr="00CA72E5" w14:paraId="1FD0F8C4" w14:textId="77777777" w:rsidTr="5528B5C2">
        <w:tc>
          <w:tcPr>
            <w:tcW w:w="841" w:type="dxa"/>
          </w:tcPr>
          <w:p w14:paraId="42352B84"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2.26.</w:t>
            </w:r>
          </w:p>
        </w:tc>
        <w:tc>
          <w:tcPr>
            <w:tcW w:w="8220" w:type="dxa"/>
          </w:tcPr>
          <w:p w14:paraId="0CD3437E" w14:textId="7835401F" w:rsidR="0090548A" w:rsidRPr="00CA72E5" w:rsidRDefault="71640F3D"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ECC/DEC/(05)10 – ECC 2005. gada 24. jūnija Lēmums par kuģu Zemes staciju brīvu apriti un izmantošanu, kas darbojas fiksētā satelītu dienesta tīklos radiofrekvenču joslās 14–14,5 GHz (Zeme–izplatījums); 10,7–11,7 GHz (izplatījums–Zeme) un 12,5–12,75 GHz (izplatījums–Zeme) (2019. gada 8. marta redakcijā)</w:t>
            </w:r>
          </w:p>
        </w:tc>
      </w:tr>
      <w:tr w:rsidR="0090548A" w:rsidRPr="00CA72E5" w14:paraId="0D5C2AB7" w14:textId="77777777" w:rsidTr="5528B5C2">
        <w:tc>
          <w:tcPr>
            <w:tcW w:w="841" w:type="dxa"/>
          </w:tcPr>
          <w:p w14:paraId="2EE42F5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2.27.</w:t>
            </w:r>
          </w:p>
        </w:tc>
        <w:tc>
          <w:tcPr>
            <w:tcW w:w="8220" w:type="dxa"/>
          </w:tcPr>
          <w:p w14:paraId="02F85EDE" w14:textId="427572EE" w:rsidR="0090548A" w:rsidRPr="00CA72E5" w:rsidRDefault="71640F3D"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ECC/DEC/(05)11 – ECC 2005. gada 24. jūnija Lēmums par gaisa kuģu Zemes staciju brīvu apriti un izmantošanu radiofrekvenču joslās 14–14,5 GHz (Zeme–izplatījums); 10,7–11,7 GHz (izplatījums–Zeme) un 12,5–12,75 GHz (izplatījums–Zeme) (202</w:t>
            </w:r>
            <w:r w:rsidR="33FEA271" w:rsidRPr="00CA72E5">
              <w:rPr>
                <w:rFonts w:ascii="Times New Roman" w:eastAsia="Times New Roman" w:hAnsi="Times New Roman" w:cs="Times New Roman"/>
                <w:sz w:val="24"/>
                <w:szCs w:val="24"/>
                <w:lang w:eastAsia="lv-LV"/>
              </w:rPr>
              <w:t>4</w:t>
            </w:r>
            <w:r w:rsidRPr="00CA72E5">
              <w:rPr>
                <w:rFonts w:ascii="Times New Roman" w:eastAsia="Times New Roman" w:hAnsi="Times New Roman" w:cs="Times New Roman"/>
                <w:sz w:val="24"/>
                <w:szCs w:val="24"/>
                <w:lang w:eastAsia="lv-LV"/>
              </w:rPr>
              <w:t>. gada 8. novembra redakcijā)</w:t>
            </w:r>
          </w:p>
        </w:tc>
      </w:tr>
      <w:tr w:rsidR="0090548A" w:rsidRPr="00CA72E5" w14:paraId="1269EC97" w14:textId="77777777" w:rsidTr="5528B5C2">
        <w:tc>
          <w:tcPr>
            <w:tcW w:w="841" w:type="dxa"/>
          </w:tcPr>
          <w:p w14:paraId="23DF6D9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2.28.</w:t>
            </w:r>
          </w:p>
        </w:tc>
        <w:tc>
          <w:tcPr>
            <w:tcW w:w="8220" w:type="dxa"/>
          </w:tcPr>
          <w:p w14:paraId="4D7B68A2" w14:textId="21F882E7" w:rsidR="0090548A" w:rsidRPr="00CA72E5" w:rsidRDefault="71640F3D"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ECC/DEC/(06)01 – ECC 2006. gada 24. marta Lēmums par harmonizētu spektra izmantošanu 1920–1980 MHz un 2110–2170 MHz joslās mobilo/fiksēto sakaru tīkliem (MFCN), tai skaitā sauszemes IMT sistēmām (20</w:t>
            </w:r>
            <w:r w:rsidR="23B16FBD" w:rsidRPr="00CA72E5">
              <w:rPr>
                <w:rFonts w:ascii="Times New Roman" w:eastAsia="Times New Roman" w:hAnsi="Times New Roman" w:cs="Times New Roman"/>
                <w:sz w:val="24"/>
                <w:szCs w:val="24"/>
                <w:lang w:eastAsia="lv-LV"/>
              </w:rPr>
              <w:t>25</w:t>
            </w:r>
            <w:r w:rsidRPr="00CA72E5">
              <w:rPr>
                <w:rFonts w:ascii="Times New Roman" w:eastAsia="Times New Roman" w:hAnsi="Times New Roman" w:cs="Times New Roman"/>
                <w:sz w:val="24"/>
                <w:szCs w:val="24"/>
                <w:lang w:eastAsia="lv-LV"/>
              </w:rPr>
              <w:t>. gada</w:t>
            </w:r>
            <w:r w:rsidR="656D6288" w:rsidRPr="00CA72E5">
              <w:rPr>
                <w:rFonts w:ascii="Times New Roman" w:eastAsia="Times New Roman" w:hAnsi="Times New Roman" w:cs="Times New Roman"/>
                <w:sz w:val="24"/>
                <w:szCs w:val="24"/>
                <w:lang w:eastAsia="lv-LV"/>
              </w:rPr>
              <w:t>7</w:t>
            </w:r>
            <w:r w:rsidRPr="00CA72E5">
              <w:rPr>
                <w:rFonts w:ascii="Times New Roman" w:eastAsia="Times New Roman" w:hAnsi="Times New Roman" w:cs="Times New Roman"/>
                <w:sz w:val="24"/>
                <w:szCs w:val="24"/>
                <w:lang w:eastAsia="lv-LV"/>
              </w:rPr>
              <w:t>. marta redakcijā)</w:t>
            </w:r>
          </w:p>
        </w:tc>
      </w:tr>
      <w:tr w:rsidR="0090548A" w:rsidRPr="00CA72E5" w14:paraId="316C599A" w14:textId="77777777" w:rsidTr="5528B5C2">
        <w:tc>
          <w:tcPr>
            <w:tcW w:w="841" w:type="dxa"/>
          </w:tcPr>
          <w:p w14:paraId="04A61940"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2.29.</w:t>
            </w:r>
          </w:p>
        </w:tc>
        <w:tc>
          <w:tcPr>
            <w:tcW w:w="8220" w:type="dxa"/>
          </w:tcPr>
          <w:p w14:paraId="73236F28" w14:textId="6C92B7CB" w:rsidR="0090548A" w:rsidRPr="00CA72E5" w:rsidRDefault="008C39F6" w:rsidP="0090548A">
            <w:pPr>
              <w:spacing w:after="120" w:line="240" w:lineRule="auto"/>
              <w:rPr>
                <w:rFonts w:ascii="Times New Roman" w:eastAsia="Times New Roman" w:hAnsi="Times New Roman" w:cs="Times New Roman"/>
                <w:sz w:val="24"/>
                <w:szCs w:val="24"/>
                <w:lang w:eastAsia="lv-LV"/>
              </w:rPr>
            </w:pPr>
            <w:r w:rsidRPr="00CA72E5">
              <w:rPr>
                <w:rFonts w:ascii="Times New Roman" w:hAnsi="Times New Roman" w:cs="Times New Roman"/>
                <w:color w:val="000000"/>
                <w:sz w:val="24"/>
                <w:szCs w:val="24"/>
                <w:shd w:val="clear" w:color="auto" w:fill="FFFFFF"/>
              </w:rPr>
              <w:t>(Svītrots ar MK </w:t>
            </w:r>
            <w:r w:rsidRPr="00CA72E5">
              <w:rPr>
                <w:rFonts w:ascii="Times New Roman" w:eastAsia="Times New Roman" w:hAnsi="Times New Roman" w:cs="Times New Roman"/>
                <w:color w:val="333333"/>
                <w:sz w:val="24"/>
                <w:szCs w:val="24"/>
                <w:lang w:eastAsia="en-GB"/>
              </w:rPr>
              <w:t xml:space="preserve">2024. gada 15. oktobra </w:t>
            </w:r>
            <w:r w:rsidRPr="00CA72E5">
              <w:rPr>
                <w:rFonts w:ascii="Times New Roman" w:hAnsi="Times New Roman" w:cs="Times New Roman"/>
                <w:color w:val="000000"/>
                <w:sz w:val="24"/>
                <w:szCs w:val="24"/>
                <w:shd w:val="clear" w:color="auto" w:fill="FFFFFF"/>
              </w:rPr>
              <w:t>noteikumiem Nr. </w:t>
            </w:r>
            <w:r w:rsidRPr="00CA72E5">
              <w:rPr>
                <w:rFonts w:ascii="Times New Roman" w:eastAsia="Times New Roman" w:hAnsi="Times New Roman" w:cs="Times New Roman"/>
                <w:color w:val="333333"/>
                <w:sz w:val="24"/>
                <w:szCs w:val="24"/>
                <w:lang w:eastAsia="en-GB"/>
              </w:rPr>
              <w:t>646)</w:t>
            </w:r>
          </w:p>
        </w:tc>
      </w:tr>
      <w:tr w:rsidR="0090548A" w:rsidRPr="00CA72E5" w14:paraId="7566998F" w14:textId="77777777" w:rsidTr="5528B5C2">
        <w:tc>
          <w:tcPr>
            <w:tcW w:w="841" w:type="dxa"/>
          </w:tcPr>
          <w:p w14:paraId="24B63D64"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2.30.</w:t>
            </w:r>
          </w:p>
        </w:tc>
        <w:tc>
          <w:tcPr>
            <w:tcW w:w="8220" w:type="dxa"/>
          </w:tcPr>
          <w:p w14:paraId="7E5DF400" w14:textId="75D7F72C"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ECC/DEC/(06)03 – ECC 2006. gada 24. marta Lēmums par augstas EIRP satelītu galiekārtu (HEST), kas darbojas ar ģeostacionāriem satelītiem un radiofrekvenču joslās 10,70–12,75 GHz vai 19,70–20,20 GHz virzienā izplatījums–Zeme un 14,00–14,25 GHz vai 29,50–30,00 GHz virzienā Zeme–izplatījums, atbrīvošanu no individuālajām atļaujām (2022. gada 18. novembra redakcijā)</w:t>
            </w:r>
          </w:p>
        </w:tc>
      </w:tr>
      <w:tr w:rsidR="0090548A" w:rsidRPr="00CA72E5" w14:paraId="3247DDA9" w14:textId="77777777" w:rsidTr="5528B5C2">
        <w:tc>
          <w:tcPr>
            <w:tcW w:w="841" w:type="dxa"/>
          </w:tcPr>
          <w:p w14:paraId="7C1E0300"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2.31.</w:t>
            </w:r>
          </w:p>
        </w:tc>
        <w:tc>
          <w:tcPr>
            <w:tcW w:w="8220" w:type="dxa"/>
          </w:tcPr>
          <w:p w14:paraId="2666012D" w14:textId="73522F1C" w:rsidR="0090548A" w:rsidRPr="00CA72E5" w:rsidRDefault="0090548A" w:rsidP="0090548A">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ECC/DEC(06)04 – 2006. gada 24. marta Lēmums par iekārtu, kuras izmanto ultraplatjoslas (UWB) tehnoloģiju, radiofrekvencēs zem 10,6 GHz harmonizētu izmantošanu, atbrīvošanu no individuālajām atļaujām un brīvu apriti (2022. gada 18. novembra redakcijā)</w:t>
            </w:r>
          </w:p>
        </w:tc>
      </w:tr>
      <w:tr w:rsidR="0090548A" w:rsidRPr="00CA72E5" w14:paraId="541825DE" w14:textId="77777777" w:rsidTr="5528B5C2">
        <w:tc>
          <w:tcPr>
            <w:tcW w:w="841" w:type="dxa"/>
          </w:tcPr>
          <w:p w14:paraId="0A0F6CB9"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2.32.</w:t>
            </w:r>
          </w:p>
        </w:tc>
        <w:tc>
          <w:tcPr>
            <w:tcW w:w="8220" w:type="dxa"/>
          </w:tcPr>
          <w:p w14:paraId="0CCA9DE6" w14:textId="58D22879"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ECC/DEC/(06)07 – ECC 2006. gada 1. decembra Lēmums par harmonizētu gaisa kuģu GSM un LTE sistēmu izmantošanu 1710–1785 un 1805–1880 MHz frekvenču joslās un gaisa kuģu UMTS sistēmu izmantošanu 1920–1980 MHz un 2110–2170 MHz frekvenču joslās (2022. gada 18. novembra redakcijā)</w:t>
            </w:r>
          </w:p>
        </w:tc>
      </w:tr>
      <w:tr w:rsidR="0090548A" w:rsidRPr="00CA72E5" w14:paraId="368D496F" w14:textId="77777777" w:rsidTr="5528B5C2">
        <w:tc>
          <w:tcPr>
            <w:tcW w:w="841" w:type="dxa"/>
          </w:tcPr>
          <w:p w14:paraId="3D71A105"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2.33.</w:t>
            </w:r>
          </w:p>
        </w:tc>
        <w:tc>
          <w:tcPr>
            <w:tcW w:w="8220" w:type="dxa"/>
          </w:tcPr>
          <w:p w14:paraId="4B3B21D2" w14:textId="45967F3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ECC/DEC(06)08 – ECC 2006. gada 1. decembra Lēmums par radiofrekvenču spektra izmantošanu zemes un sienu zondēšanas radaru (GPR/WPR) attēlveidošanas sistēmās (2018. gada 26. oktobra redakcijā)</w:t>
            </w:r>
          </w:p>
        </w:tc>
      </w:tr>
      <w:tr w:rsidR="0090548A" w:rsidRPr="00CA72E5" w14:paraId="164CBFD6" w14:textId="77777777" w:rsidTr="5528B5C2">
        <w:tc>
          <w:tcPr>
            <w:tcW w:w="841" w:type="dxa"/>
          </w:tcPr>
          <w:p w14:paraId="6547007D"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2.34.</w:t>
            </w:r>
          </w:p>
        </w:tc>
        <w:tc>
          <w:tcPr>
            <w:tcW w:w="8220" w:type="dxa"/>
          </w:tcPr>
          <w:p w14:paraId="6FEA9B17" w14:textId="1934298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ECC/DEC/(06)09 – ECC 2006. gada 1. decembra Lēmums par 1980–2010 MHz un 2170–2200 MHz radiofrekvenču joslu noteikšanu izmantošanai mobilā satelītu dienesta sistēmām, tostarp sistēmām ar papildu zemes komponentēm (2007. gada 5. septembra redakcijā)</w:t>
            </w:r>
          </w:p>
        </w:tc>
      </w:tr>
      <w:tr w:rsidR="0090548A" w:rsidRPr="00CA72E5" w14:paraId="2DE686BB" w14:textId="77777777" w:rsidTr="5528B5C2">
        <w:tc>
          <w:tcPr>
            <w:tcW w:w="841" w:type="dxa"/>
          </w:tcPr>
          <w:p w14:paraId="19683F99"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2.35.</w:t>
            </w:r>
          </w:p>
        </w:tc>
        <w:tc>
          <w:tcPr>
            <w:tcW w:w="8220" w:type="dxa"/>
          </w:tcPr>
          <w:p w14:paraId="4F5C95AA" w14:textId="382EB802"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ECC/DEC/(06)10 – ECC 2006. gada 1. decembra Lēmums par zemes dienestu darbības pāreju no 1980–2010 MHz un 2170–2200 MHz joslām, lai sekmētu mobilā satelītu dienesta (MSS) harmonizētu ieviešanu un attīstību, tai skaitā papildinot ar papildu zemes komponenti (2022. gada 4. marta redakcijā)</w:t>
            </w:r>
          </w:p>
        </w:tc>
      </w:tr>
      <w:tr w:rsidR="0090548A" w:rsidRPr="00CA72E5" w14:paraId="2B03DBBC" w14:textId="77777777" w:rsidTr="5528B5C2">
        <w:tc>
          <w:tcPr>
            <w:tcW w:w="841" w:type="dxa"/>
          </w:tcPr>
          <w:p w14:paraId="7FCB83F4"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2.36.</w:t>
            </w:r>
          </w:p>
        </w:tc>
        <w:tc>
          <w:tcPr>
            <w:tcW w:w="8220" w:type="dxa"/>
          </w:tcPr>
          <w:p w14:paraId="3D92278B" w14:textId="6C455738"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ECC/DEC/(06)13 – ECC 2006. gada 1. decembra Lēmums par harmonizētiem tehniskajiem nosacījumiem mobilo/fiksēto sakaru tīkliem (MFCN), tajā skaitā IMT, kas nav GSM un EC-GSM IoT, frekvenču joslās 880–915/925–960 MHz, 1710–1785/1805–1880 MHz (2022. gada 4. marta redakcijā)</w:t>
            </w:r>
          </w:p>
        </w:tc>
      </w:tr>
      <w:tr w:rsidR="0090548A" w:rsidRPr="00CA72E5" w14:paraId="4277B0C5" w14:textId="77777777" w:rsidTr="5528B5C2">
        <w:tc>
          <w:tcPr>
            <w:tcW w:w="841" w:type="dxa"/>
          </w:tcPr>
          <w:p w14:paraId="4E1185C6"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2.37.</w:t>
            </w:r>
          </w:p>
        </w:tc>
        <w:tc>
          <w:tcPr>
            <w:tcW w:w="8220" w:type="dxa"/>
          </w:tcPr>
          <w:p w14:paraId="1145EBE7" w14:textId="7355EC35"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ECC/DEC/(07)01 – ECC 2007. gada 30. marta Lēmums par materiālu zondēšanas iekārtu, kas izmanto ultraplatjoslas (UWB) tehnoloģiju, harmonizētu izmantošanu, atbrīvošanu no individuālām atļaujām un brīvu apriti (2022. gada 1. jūlija redakcijā)</w:t>
            </w:r>
          </w:p>
        </w:tc>
      </w:tr>
      <w:tr w:rsidR="0090548A" w:rsidRPr="00CA72E5" w14:paraId="540F2696" w14:textId="77777777" w:rsidTr="5528B5C2">
        <w:tc>
          <w:tcPr>
            <w:tcW w:w="841" w:type="dxa"/>
          </w:tcPr>
          <w:p w14:paraId="04C543B8"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2.38.</w:t>
            </w:r>
          </w:p>
        </w:tc>
        <w:tc>
          <w:tcPr>
            <w:tcW w:w="8220" w:type="dxa"/>
          </w:tcPr>
          <w:p w14:paraId="1EC3AEA1" w14:textId="2D2E6078"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ECC/DEC/(08)01 – ECC 2008. gada 14. marta Lēmums par 5875–5935 MHz frekvenču joslas harmonizētu izmantošanu ar drošību saistītajām intelektiskajām transporta sistēmām (ITS) (2022. gada 18. novembra redakcijā)</w:t>
            </w:r>
          </w:p>
        </w:tc>
      </w:tr>
      <w:tr w:rsidR="0090548A" w:rsidRPr="00CA72E5" w14:paraId="70B612E1" w14:textId="77777777" w:rsidTr="5528B5C2">
        <w:tc>
          <w:tcPr>
            <w:tcW w:w="841" w:type="dxa"/>
          </w:tcPr>
          <w:p w14:paraId="644828F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2.39.</w:t>
            </w:r>
          </w:p>
        </w:tc>
        <w:tc>
          <w:tcPr>
            <w:tcW w:w="8220" w:type="dxa"/>
          </w:tcPr>
          <w:p w14:paraId="3F59BD0B" w14:textId="7D4AC11F" w:rsidR="0090548A" w:rsidRPr="00CA72E5" w:rsidRDefault="0090548A" w:rsidP="0090548A">
            <w:pPr>
              <w:spacing w:after="120" w:line="240" w:lineRule="auto"/>
              <w:ind w:right="227"/>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ECC/DEC/(08)08 – ECC 2008. gada 31. oktobra Lēmums par GSM sistēmu 900 MHz un 1800 MHz joslās, UMTS sistēmu 2 GHz joslā un LTE un 5G NR ne-AAS sistēmu 1800 MHz un 2,6 GHz (FDD) joslās harmonizētu izmantošanu uz kuģiem (2022. gada 4. marta redakcijā)</w:t>
            </w:r>
          </w:p>
        </w:tc>
      </w:tr>
      <w:tr w:rsidR="0090548A" w:rsidRPr="00CA72E5" w14:paraId="43B04C3D" w14:textId="77777777" w:rsidTr="5528B5C2">
        <w:tc>
          <w:tcPr>
            <w:tcW w:w="841" w:type="dxa"/>
          </w:tcPr>
          <w:p w14:paraId="13FF314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2.40.</w:t>
            </w:r>
          </w:p>
        </w:tc>
        <w:tc>
          <w:tcPr>
            <w:tcW w:w="8220" w:type="dxa"/>
          </w:tcPr>
          <w:p w14:paraId="40136902" w14:textId="4055220B" w:rsidR="0090548A" w:rsidRPr="00CA72E5" w:rsidRDefault="0090548A" w:rsidP="0090548A">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ECC/DEC/(09)01 – ECC 2009. gada 13. marta Lēmums par 63,72–65,88 GHz frekvenču joslas harmonizētu izmantošanu intelektiskajām transporta sistēmām (ITS) (2019. gada 5. jūlija redakcijā)</w:t>
            </w:r>
          </w:p>
        </w:tc>
      </w:tr>
      <w:tr w:rsidR="0090548A" w:rsidRPr="00CA72E5" w14:paraId="15D9CF43" w14:textId="77777777" w:rsidTr="5528B5C2">
        <w:tc>
          <w:tcPr>
            <w:tcW w:w="841" w:type="dxa"/>
          </w:tcPr>
          <w:p w14:paraId="5D69AA2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2.41.</w:t>
            </w:r>
          </w:p>
        </w:tc>
        <w:tc>
          <w:tcPr>
            <w:tcW w:w="8220" w:type="dxa"/>
          </w:tcPr>
          <w:p w14:paraId="39B2A7BD" w14:textId="7850C19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ECC/DEC/(09)02 – ECC 2009. gada 26. jūnija Lēmums par 1610–1626,5 MHz un 2483,5–2500 MHz joslu saskaņotu izmantošanu mobilo satelītu dienesta sistēmās (2012. gada 2. novembra redakcijā)</w:t>
            </w:r>
          </w:p>
        </w:tc>
      </w:tr>
      <w:tr w:rsidR="0090548A" w:rsidRPr="00CA72E5" w14:paraId="277FFACC" w14:textId="77777777" w:rsidTr="5528B5C2">
        <w:tc>
          <w:tcPr>
            <w:tcW w:w="841" w:type="dxa"/>
          </w:tcPr>
          <w:p w14:paraId="5FF0E965"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2.42.</w:t>
            </w:r>
          </w:p>
        </w:tc>
        <w:tc>
          <w:tcPr>
            <w:tcW w:w="8220" w:type="dxa"/>
          </w:tcPr>
          <w:p w14:paraId="3836C067" w14:textId="1E8F969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ECC/DEC/(09)03 – ECC 2009. gada 30. oktobra Lēmums par harmonizētajiem nosacījumiem mobilo/fiksēto sakaru tīklu (MFCN) darbībai 790–862 MHz joslā</w:t>
            </w:r>
          </w:p>
        </w:tc>
      </w:tr>
      <w:tr w:rsidR="0090548A" w:rsidRPr="00CA72E5" w14:paraId="5FC682C1" w14:textId="77777777" w:rsidTr="5528B5C2">
        <w:tc>
          <w:tcPr>
            <w:tcW w:w="841" w:type="dxa"/>
          </w:tcPr>
          <w:p w14:paraId="73C5339B"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2.43.</w:t>
            </w:r>
          </w:p>
        </w:tc>
        <w:tc>
          <w:tcPr>
            <w:tcW w:w="8220" w:type="dxa"/>
          </w:tcPr>
          <w:p w14:paraId="6F59B6CB" w14:textId="673797FC"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ECC/DEC/(09)04 – ECC 2009. gada 30. oktobra Lēmums par mobilo raidošo satelītu galiekārtu atbrīvošanu no individuālajām atļaujām, brīvu apriti un izmantošanu mobilo satelītu dienesta iedalījumos frekvenču joslā 1613,8–1626,5 MHz</w:t>
            </w:r>
          </w:p>
        </w:tc>
      </w:tr>
      <w:tr w:rsidR="0090548A" w:rsidRPr="00CA72E5" w14:paraId="19C51BC6" w14:textId="77777777" w:rsidTr="5528B5C2">
        <w:tc>
          <w:tcPr>
            <w:tcW w:w="841" w:type="dxa"/>
          </w:tcPr>
          <w:p w14:paraId="5D930D70"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2.44.</w:t>
            </w:r>
          </w:p>
        </w:tc>
        <w:tc>
          <w:tcPr>
            <w:tcW w:w="8220" w:type="dxa"/>
          </w:tcPr>
          <w:p w14:paraId="6D776E08" w14:textId="5BE7655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ECC/DEC/(10)01 – ECC 2010. gada 12. novembra Lēmums par fiksētā dienesta, mobilā dienesta un Zemes izpētes satelītu dienesta (pasīvā) koplietošanas nosacījumiem 10,6–10,68 GHz joslā</w:t>
            </w:r>
          </w:p>
        </w:tc>
      </w:tr>
      <w:tr w:rsidR="0090548A" w:rsidRPr="00CA72E5" w14:paraId="346F8EF2" w14:textId="77777777" w:rsidTr="5528B5C2">
        <w:tc>
          <w:tcPr>
            <w:tcW w:w="841" w:type="dxa"/>
          </w:tcPr>
          <w:p w14:paraId="39C73FF0"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2.45.</w:t>
            </w:r>
          </w:p>
        </w:tc>
        <w:tc>
          <w:tcPr>
            <w:tcW w:w="8220" w:type="dxa"/>
          </w:tcPr>
          <w:p w14:paraId="2BECBF31" w14:textId="423C2786"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ECC/DEC/(10)02 – ECC 2010. gada 12. novembra Lēmums par saderību starp fiksēto satelītu dienestu 30–31 GHz joslā un Zemes izpētes dienestu (pasīvo) 31,3–31,5 GHz joslā</w:t>
            </w:r>
          </w:p>
        </w:tc>
      </w:tr>
      <w:tr w:rsidR="0090548A" w:rsidRPr="00CA72E5" w14:paraId="40FF7365" w14:textId="77777777" w:rsidTr="5528B5C2">
        <w:tc>
          <w:tcPr>
            <w:tcW w:w="841" w:type="dxa"/>
          </w:tcPr>
          <w:p w14:paraId="36CBB314"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2.46.</w:t>
            </w:r>
          </w:p>
        </w:tc>
        <w:tc>
          <w:tcPr>
            <w:tcW w:w="8220" w:type="dxa"/>
          </w:tcPr>
          <w:p w14:paraId="3FA1E5F3" w14:textId="50976AF3"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ECC/DEC/(11)01 – ECC 2011. gada 11. marta Lēmums par Zemes izpētes satelītu dienesta (pasīvā) aizsardzību 1400–1427 MHz radiofrekvenču joslā (2017. gada 3. marta redakcijā)</w:t>
            </w:r>
          </w:p>
        </w:tc>
      </w:tr>
      <w:tr w:rsidR="0090548A" w:rsidRPr="00CA72E5" w14:paraId="5288C086" w14:textId="77777777" w:rsidTr="5528B5C2">
        <w:tc>
          <w:tcPr>
            <w:tcW w:w="841" w:type="dxa"/>
          </w:tcPr>
          <w:p w14:paraId="22FAB48C"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2.47.</w:t>
            </w:r>
          </w:p>
        </w:tc>
        <w:tc>
          <w:tcPr>
            <w:tcW w:w="8220" w:type="dxa"/>
          </w:tcPr>
          <w:p w14:paraId="06ED23F2" w14:textId="765DBEA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ECC/DEC/(11)02 – ECC 2011. gada 11. marta Lēmums par rūpnieciskajiem līmeņa zondēšanas radariem (LPR), kas darbojas 6–8,5 GHz, 24,05–26,5 GHz, 57–64 GHz un 75–85 GHz frekvenču joslās (20</w:t>
            </w:r>
            <w:r w:rsidR="610D6B53" w:rsidRPr="00CA72E5">
              <w:rPr>
                <w:rFonts w:ascii="Times New Roman" w:eastAsia="Times New Roman" w:hAnsi="Times New Roman" w:cs="Times New Roman"/>
                <w:sz w:val="24"/>
                <w:szCs w:val="24"/>
                <w:lang w:eastAsia="lv-LV"/>
              </w:rPr>
              <w:t>24</w:t>
            </w:r>
            <w:r w:rsidRPr="00CA72E5">
              <w:rPr>
                <w:rFonts w:ascii="Times New Roman" w:eastAsia="Times New Roman" w:hAnsi="Times New Roman" w:cs="Times New Roman"/>
                <w:sz w:val="24"/>
                <w:szCs w:val="24"/>
                <w:lang w:eastAsia="lv-LV"/>
              </w:rPr>
              <w:t xml:space="preserve">. gada </w:t>
            </w:r>
            <w:r w:rsidR="4DA3F20E"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 </w:t>
            </w:r>
            <w:r w:rsidR="11EE3491" w:rsidRPr="00CA72E5">
              <w:rPr>
                <w:rFonts w:ascii="Times New Roman" w:eastAsia="Times New Roman" w:hAnsi="Times New Roman" w:cs="Times New Roman"/>
                <w:sz w:val="24"/>
                <w:szCs w:val="24"/>
                <w:lang w:eastAsia="lv-LV"/>
              </w:rPr>
              <w:t>novembra</w:t>
            </w:r>
            <w:r w:rsidRPr="00CA72E5">
              <w:rPr>
                <w:rFonts w:ascii="Times New Roman" w:eastAsia="Times New Roman" w:hAnsi="Times New Roman" w:cs="Times New Roman"/>
                <w:sz w:val="24"/>
                <w:szCs w:val="24"/>
                <w:lang w:eastAsia="lv-LV"/>
              </w:rPr>
              <w:t xml:space="preserve"> redakcijā)</w:t>
            </w:r>
          </w:p>
        </w:tc>
      </w:tr>
      <w:tr w:rsidR="0090548A" w:rsidRPr="00CA72E5" w14:paraId="45A6949F" w14:textId="77777777" w:rsidTr="5528B5C2">
        <w:tc>
          <w:tcPr>
            <w:tcW w:w="841" w:type="dxa"/>
          </w:tcPr>
          <w:p w14:paraId="634EA4B4"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2.48.</w:t>
            </w:r>
          </w:p>
        </w:tc>
        <w:tc>
          <w:tcPr>
            <w:tcW w:w="8220" w:type="dxa"/>
          </w:tcPr>
          <w:p w14:paraId="5B1166EE" w14:textId="0AE41B59"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ECC/DEC/(11)03 – ECC 2011. gada 24. jūnija Lēmums par frekvenču harmonizētu izmantošanu personālo sakaru (CB) radioiekārtām (2016. gada 17. jūnija redakcijā)</w:t>
            </w:r>
          </w:p>
        </w:tc>
      </w:tr>
      <w:tr w:rsidR="0090548A" w:rsidRPr="00CA72E5" w14:paraId="6C6EF563" w14:textId="77777777" w:rsidTr="5528B5C2">
        <w:tc>
          <w:tcPr>
            <w:tcW w:w="841" w:type="dxa"/>
          </w:tcPr>
          <w:p w14:paraId="22A081A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2.49.</w:t>
            </w:r>
          </w:p>
        </w:tc>
        <w:tc>
          <w:tcPr>
            <w:tcW w:w="8220" w:type="dxa"/>
          </w:tcPr>
          <w:p w14:paraId="029A16F2" w14:textId="422ADE55"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ECC/DEC/(11)06 – ECC 2011. gada 9. decembra Lēmums par harmonizētiem kanālu plāniem mobilo/fiksēto sakaru tīkliem (MFCN), kas darbojas 3400–3600 MHz un 3600–3800 MHz radiofrekvenču joslās (2018. gada 26. oktobra redakcijā)</w:t>
            </w:r>
          </w:p>
        </w:tc>
      </w:tr>
      <w:tr w:rsidR="0090548A" w:rsidRPr="00CA72E5" w14:paraId="18EF7ECC" w14:textId="77777777" w:rsidTr="5528B5C2">
        <w:tc>
          <w:tcPr>
            <w:tcW w:w="841" w:type="dxa"/>
          </w:tcPr>
          <w:p w14:paraId="77C8CF00"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2.50.</w:t>
            </w:r>
          </w:p>
        </w:tc>
        <w:tc>
          <w:tcPr>
            <w:tcW w:w="8220" w:type="dxa"/>
          </w:tcPr>
          <w:p w14:paraId="6DBA2377" w14:textId="287CFB8D"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ECC/DEC/(12)01 – ECC 2012. gada 1. jūnija Lēmums par satelītu mobilo galiekārtu, ko vada sakaru tīkli, atbrīvošanu no individuālajām atļaujām, brīvu apriti un lietošanu 1–3 GHz radiofrekvenču joslā (2022. gada 4. marta redakcijā)</w:t>
            </w:r>
          </w:p>
        </w:tc>
      </w:tr>
      <w:tr w:rsidR="0090548A" w:rsidRPr="00CA72E5" w14:paraId="021416C2" w14:textId="77777777" w:rsidTr="5528B5C2">
        <w:tc>
          <w:tcPr>
            <w:tcW w:w="841" w:type="dxa"/>
          </w:tcPr>
          <w:p w14:paraId="36E0279C"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2.51.</w:t>
            </w:r>
          </w:p>
        </w:tc>
        <w:tc>
          <w:tcPr>
            <w:tcW w:w="8220" w:type="dxa"/>
          </w:tcPr>
          <w:p w14:paraId="505C5ACC" w14:textId="24C2DC0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ECC/DEC(12)03 – ECC 2012. gada 2. novembra Lēmums par harmonizētiem nosacījumiem UWB lietojumiem gaisa kuģos (2020. gada 6. marta redakcijā)</w:t>
            </w:r>
          </w:p>
        </w:tc>
      </w:tr>
      <w:tr w:rsidR="0090548A" w:rsidRPr="00CA72E5" w14:paraId="6EA2ACE2" w14:textId="77777777" w:rsidTr="5528B5C2">
        <w:tc>
          <w:tcPr>
            <w:tcW w:w="841" w:type="dxa"/>
          </w:tcPr>
          <w:p w14:paraId="57B9D15D"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2.52.</w:t>
            </w:r>
          </w:p>
        </w:tc>
        <w:tc>
          <w:tcPr>
            <w:tcW w:w="8220" w:type="dxa"/>
          </w:tcPr>
          <w:p w14:paraId="0EA1C22B" w14:textId="37860B0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ECC/DEC/(13)01 – ECC 2013. gada 8. marta Lēmums par Zemes staciju uz mobilām platformām (ESOMP) saskaņotu lietošanu, brīvu apriti un atbrīvošanu no individuālām atļaujām 17,3–20,2 GHz un 27,5–30,0 GHz radiofrekvenču joslās (2021. gada 2. jūlija redakcijā)</w:t>
            </w:r>
          </w:p>
        </w:tc>
      </w:tr>
      <w:tr w:rsidR="0090548A" w:rsidRPr="00CA72E5" w14:paraId="38204437" w14:textId="77777777" w:rsidTr="5528B5C2">
        <w:tc>
          <w:tcPr>
            <w:tcW w:w="841" w:type="dxa"/>
          </w:tcPr>
          <w:p w14:paraId="71CF3BF5"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2.53.</w:t>
            </w:r>
          </w:p>
        </w:tc>
        <w:tc>
          <w:tcPr>
            <w:tcW w:w="8220" w:type="dxa"/>
          </w:tcPr>
          <w:p w14:paraId="363C0889" w14:textId="5030B5E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ECC/DEC/(13)03 – ECC 2013. gada 8. novembra Lēmums par frekvenču joslas 1452–1492 MHz harmonizētu izmantošanu mobilo/fiksēto sakaru tīkliem (MFCN) papildu lejuplīnijai (MFCN SDL) (2018. gada 2. marta redakcijā)</w:t>
            </w:r>
          </w:p>
        </w:tc>
      </w:tr>
      <w:tr w:rsidR="0090548A" w:rsidRPr="00CA72E5" w14:paraId="366DFD0C" w14:textId="77777777" w:rsidTr="5528B5C2">
        <w:tc>
          <w:tcPr>
            <w:tcW w:w="841" w:type="dxa"/>
          </w:tcPr>
          <w:p w14:paraId="48E5C0A8"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2.54.</w:t>
            </w:r>
          </w:p>
        </w:tc>
        <w:tc>
          <w:tcPr>
            <w:tcW w:w="8220" w:type="dxa"/>
          </w:tcPr>
          <w:p w14:paraId="311CBC3B" w14:textId="1A56D593"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ECC/DEC/(14)02 – ECC 2014. gada 27. jūnija Lēmums par harmonizētiem tehniskajiem un normatīvajiem nosacījumiem 2300–2400 MHz joslas izmantošanai mobilo/fiksēto sakaru tīkliem (MFCN) (2023. gada 10. marta redakcijā)</w:t>
            </w:r>
          </w:p>
        </w:tc>
      </w:tr>
      <w:tr w:rsidR="0090548A" w:rsidRPr="00CA72E5" w14:paraId="52FEED5C" w14:textId="77777777" w:rsidTr="5528B5C2">
        <w:tc>
          <w:tcPr>
            <w:tcW w:w="841" w:type="dxa"/>
          </w:tcPr>
          <w:p w14:paraId="3491987E"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2.55.</w:t>
            </w:r>
          </w:p>
        </w:tc>
        <w:tc>
          <w:tcPr>
            <w:tcW w:w="8220" w:type="dxa"/>
          </w:tcPr>
          <w:p w14:paraId="5093D929" w14:textId="41A35CA9"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ECC/DEC/(15)01 – ECC 2015. gada 6. marta Lēmums par harmonizētiem tehniskajiem nosacījumiem mobilo/fiksēto sakaru tīkliem (MFCN) 694–790 MHz joslā, ieskaitot radiofrekvenču sapāroto kanālu plānu (frekvenčdales duplekss 2 x 30 MHz) un izvēles radiofrekvenču nesapāroto kanālu plānu (papildu lejuplīnija)</w:t>
            </w:r>
          </w:p>
        </w:tc>
      </w:tr>
      <w:tr w:rsidR="0090548A" w:rsidRPr="00CA72E5" w14:paraId="4679639E" w14:textId="77777777" w:rsidTr="5528B5C2">
        <w:tc>
          <w:tcPr>
            <w:tcW w:w="841" w:type="dxa"/>
          </w:tcPr>
          <w:p w14:paraId="18E4B8BE"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2.56.</w:t>
            </w:r>
          </w:p>
        </w:tc>
        <w:tc>
          <w:tcPr>
            <w:tcW w:w="8220" w:type="dxa"/>
          </w:tcPr>
          <w:p w14:paraId="19900E18" w14:textId="3478FFF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ECC/DEC/(15)04 – ECC 2015. gada 3. jūlija Lēmums par sauszemes, jūras un gaisa kuģniecības Zemes staciju uz mobilām platformām (ESOMP) darbību ar NGSO FSS satelītu sistēmām 17,3–20,2 GHz, 27,5–29,1 GHz un 29,5–30,0 GHz radiofrekvenču joslās (2020. gada 20. novembra redakcijā)</w:t>
            </w:r>
          </w:p>
        </w:tc>
      </w:tr>
      <w:tr w:rsidR="0090548A" w:rsidRPr="00CA72E5" w14:paraId="11232A6F" w14:textId="77777777" w:rsidTr="5528B5C2">
        <w:tc>
          <w:tcPr>
            <w:tcW w:w="841" w:type="dxa"/>
          </w:tcPr>
          <w:p w14:paraId="39EF8761"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2.57.</w:t>
            </w:r>
          </w:p>
        </w:tc>
        <w:tc>
          <w:tcPr>
            <w:tcW w:w="8220" w:type="dxa"/>
          </w:tcPr>
          <w:p w14:paraId="35296C0E" w14:textId="4AFD8436"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ECC/DEC/(15)05 – ECC 2015. gada 3. jūlija Lēmums "Harmonizētais frekvenču diapazons 446,0–446,2 MHz, tehniskie parametri, atbrīvojums no individuālām atļaujām un brīva pārvietošana, kā arī analogo un digitālo PMR 446 lietojumu izmantošana" (2018. gada 2. marta redakcijā)</w:t>
            </w:r>
          </w:p>
        </w:tc>
      </w:tr>
      <w:tr w:rsidR="0090548A" w:rsidRPr="00CA72E5" w14:paraId="2BFA8211" w14:textId="77777777" w:rsidTr="5528B5C2">
        <w:tc>
          <w:tcPr>
            <w:tcW w:w="841" w:type="dxa"/>
          </w:tcPr>
          <w:p w14:paraId="0D1F9388"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2.58.</w:t>
            </w:r>
          </w:p>
        </w:tc>
        <w:tc>
          <w:tcPr>
            <w:tcW w:w="8220" w:type="dxa"/>
          </w:tcPr>
          <w:p w14:paraId="0F6B8C85" w14:textId="20FF5CE0"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ECC/DEC/(16)01 – ECC 2016. gada 4. marta Lēmums par 76–77 GHz harmonizēto frekvenču joslu, tehniskajiem parametriem, atbrīvošanu no individuālajām atļaujām, brīvu apriti un lietošanu šķēršļu noteikšanas radariem helikopteros (rotorplānos) (2016. gada 18. novembra redakcijā)</w:t>
            </w:r>
          </w:p>
        </w:tc>
      </w:tr>
      <w:tr w:rsidR="0090548A" w:rsidRPr="00CA72E5" w14:paraId="52A7241F" w14:textId="77777777" w:rsidTr="5528B5C2">
        <w:tc>
          <w:tcPr>
            <w:tcW w:w="841" w:type="dxa"/>
          </w:tcPr>
          <w:p w14:paraId="445C7F0C"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2.59.</w:t>
            </w:r>
          </w:p>
        </w:tc>
        <w:tc>
          <w:tcPr>
            <w:tcW w:w="8220" w:type="dxa"/>
          </w:tcPr>
          <w:p w14:paraId="2B82C408" w14:textId="66C4F37A"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ECC/DEC/(16)02 – ECC 2016. gada 17. jūnija Lēmums par harmonizētiem tehniskajiem nosacījumiem un frekvenču joslām Platjoslas sabiedrības drošības un katastrofu seku novēršanas (BB-PPDR) sistēmām (2019. gada 8. marta redakcijā)</w:t>
            </w:r>
          </w:p>
        </w:tc>
      </w:tr>
      <w:tr w:rsidR="0090548A" w:rsidRPr="00CA72E5" w14:paraId="039409F4" w14:textId="77777777" w:rsidTr="5528B5C2">
        <w:tc>
          <w:tcPr>
            <w:tcW w:w="841" w:type="dxa"/>
          </w:tcPr>
          <w:p w14:paraId="7121A275"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2.60.</w:t>
            </w:r>
          </w:p>
        </w:tc>
        <w:tc>
          <w:tcPr>
            <w:tcW w:w="8220" w:type="dxa"/>
          </w:tcPr>
          <w:p w14:paraId="3262639B" w14:textId="581D6F5F"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ECC/DEC/(17)04 – ECC 2017. gada 30. jūnija Lēmums par fiksēto Zemes staciju, kas darbojas NGSO FSS satelītu sistēmās 10,7–12,75 GHz un 14,0–14,50 GHz radiofrekvenču joslās, saskaņotu lietošanu un atbrīvošanu no individuālajām atļaujām (</w:t>
            </w:r>
            <w:r w:rsidR="00401B50" w:rsidRPr="00CA72E5">
              <w:rPr>
                <w:rFonts w:ascii="Times New Roman" w:eastAsia="Times New Roman" w:hAnsi="Times New Roman" w:cs="Times New Roman"/>
                <w:sz w:val="24"/>
                <w:szCs w:val="24"/>
                <w:lang w:eastAsia="lv-LV"/>
              </w:rPr>
              <w:t>2024</w:t>
            </w:r>
            <w:r w:rsidRPr="00CA72E5">
              <w:rPr>
                <w:rFonts w:ascii="Times New Roman" w:eastAsia="Times New Roman" w:hAnsi="Times New Roman" w:cs="Times New Roman"/>
                <w:sz w:val="24"/>
                <w:szCs w:val="24"/>
                <w:lang w:eastAsia="lv-LV"/>
              </w:rPr>
              <w:t xml:space="preserve">. gada </w:t>
            </w:r>
            <w:r w:rsidR="00401B50"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 novembra redakcijā)</w:t>
            </w:r>
          </w:p>
        </w:tc>
      </w:tr>
      <w:tr w:rsidR="0090548A" w:rsidRPr="00CA72E5" w14:paraId="54542019" w14:textId="77777777" w:rsidTr="5528B5C2">
        <w:tc>
          <w:tcPr>
            <w:tcW w:w="841" w:type="dxa"/>
          </w:tcPr>
          <w:p w14:paraId="614E848B"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2.61.</w:t>
            </w:r>
          </w:p>
        </w:tc>
        <w:tc>
          <w:tcPr>
            <w:tcW w:w="8220" w:type="dxa"/>
          </w:tcPr>
          <w:p w14:paraId="1C3FBD76" w14:textId="66FAE2FF"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ECC/DEC/(17)06 – ECC 2017. gada 17. novembra Lēmums par frekvenču joslu 1427–1452 MHz un 1492–1518 MHz harmonizētu izmantošanu mobilo/fiksēto sakaru tīkliem (MFCN) papildu lejuplīnijai (MFCN SDL) (2018. gada 2. marta redakcijā)</w:t>
            </w:r>
          </w:p>
        </w:tc>
      </w:tr>
      <w:tr w:rsidR="0090548A" w:rsidRPr="00CA72E5" w14:paraId="2FC8FC7D" w14:textId="77777777" w:rsidTr="5528B5C2">
        <w:tc>
          <w:tcPr>
            <w:tcW w:w="841" w:type="dxa"/>
          </w:tcPr>
          <w:p w14:paraId="3A603CD1"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2.62.</w:t>
            </w:r>
          </w:p>
        </w:tc>
        <w:tc>
          <w:tcPr>
            <w:tcW w:w="8220" w:type="dxa"/>
          </w:tcPr>
          <w:p w14:paraId="190A00AF" w14:textId="375AEFC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ECC/DEC/(18)04 – ECC 2018. gada 6. jūlija Lēmums par sauszemes kustībā esošu Zemes staciju (ESIM) saskaņotu lietošanu, atbrīvošanu no individuālām atļaujām, brīvu apriti un lietošanu frekvenču joslās 10,7–12,75 GHz un 14,0–14,5 GHz (</w:t>
            </w:r>
            <w:r w:rsidR="00401B50" w:rsidRPr="00CA72E5">
              <w:rPr>
                <w:rFonts w:ascii="Times New Roman" w:eastAsia="Times New Roman" w:hAnsi="Times New Roman" w:cs="Times New Roman"/>
                <w:sz w:val="24"/>
                <w:szCs w:val="24"/>
                <w:lang w:eastAsia="lv-LV"/>
              </w:rPr>
              <w:t>2024</w:t>
            </w:r>
            <w:r w:rsidRPr="00CA72E5">
              <w:rPr>
                <w:rFonts w:ascii="Times New Roman" w:eastAsia="Times New Roman" w:hAnsi="Times New Roman" w:cs="Times New Roman"/>
                <w:sz w:val="24"/>
                <w:szCs w:val="24"/>
                <w:lang w:eastAsia="lv-LV"/>
              </w:rPr>
              <w:t xml:space="preserve">. gada </w:t>
            </w:r>
            <w:r w:rsidR="00401B50"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 novembra redakcijā)</w:t>
            </w:r>
          </w:p>
        </w:tc>
      </w:tr>
      <w:tr w:rsidR="0090548A" w:rsidRPr="00CA72E5" w14:paraId="636B8E9F" w14:textId="77777777" w:rsidTr="5528B5C2">
        <w:tc>
          <w:tcPr>
            <w:tcW w:w="841" w:type="dxa"/>
          </w:tcPr>
          <w:p w14:paraId="4C8B02C1"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2.63.</w:t>
            </w:r>
          </w:p>
        </w:tc>
        <w:tc>
          <w:tcPr>
            <w:tcW w:w="8220" w:type="dxa"/>
          </w:tcPr>
          <w:p w14:paraId="0BF57A90" w14:textId="5E06A1FD"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ECC/DEC/(18)05 – ECC 2018. gada 6. jūlija Lēmums par kustībā esošu Zemes staciju (ESIM) saskaņotu lietošanu, atbrīvošanu no individuālām atļaujām, brīvu apriti un lietošanu frekvenču joslās 10,7–12,75 GHz un 14,0–14,5 GHz (2021. gada 5. novembra redakcijā) (</w:t>
            </w:r>
            <w:r w:rsidR="00401B50" w:rsidRPr="00CA72E5">
              <w:rPr>
                <w:rFonts w:ascii="Times New Roman" w:eastAsia="Times New Roman" w:hAnsi="Times New Roman" w:cs="Times New Roman"/>
                <w:sz w:val="24"/>
                <w:szCs w:val="24"/>
                <w:lang w:eastAsia="lv-LV"/>
              </w:rPr>
              <w:t>2024</w:t>
            </w:r>
            <w:r w:rsidRPr="00CA72E5">
              <w:rPr>
                <w:rFonts w:ascii="Times New Roman" w:eastAsia="Times New Roman" w:hAnsi="Times New Roman" w:cs="Times New Roman"/>
                <w:sz w:val="24"/>
                <w:szCs w:val="24"/>
                <w:lang w:eastAsia="lv-LV"/>
              </w:rPr>
              <w:t xml:space="preserve">. gada </w:t>
            </w:r>
            <w:r w:rsidR="00401B50" w:rsidRPr="00CA72E5">
              <w:rPr>
                <w:rFonts w:ascii="Times New Roman" w:eastAsia="Times New Roman" w:hAnsi="Times New Roman" w:cs="Times New Roman"/>
                <w:sz w:val="24"/>
                <w:szCs w:val="24"/>
                <w:lang w:eastAsia="lv-LV"/>
              </w:rPr>
              <w:t>8</w:t>
            </w:r>
            <w:r w:rsidRPr="00CA72E5">
              <w:rPr>
                <w:rFonts w:ascii="Times New Roman" w:eastAsia="Times New Roman" w:hAnsi="Times New Roman" w:cs="Times New Roman"/>
                <w:sz w:val="24"/>
                <w:szCs w:val="24"/>
                <w:lang w:eastAsia="lv-LV"/>
              </w:rPr>
              <w:t>. novembra redakcijā)</w:t>
            </w:r>
          </w:p>
        </w:tc>
      </w:tr>
      <w:tr w:rsidR="0090548A" w:rsidRPr="00CA72E5" w14:paraId="25805E56" w14:textId="77777777" w:rsidTr="5528B5C2">
        <w:tc>
          <w:tcPr>
            <w:tcW w:w="841" w:type="dxa"/>
          </w:tcPr>
          <w:p w14:paraId="304B5F5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2.64.</w:t>
            </w:r>
          </w:p>
        </w:tc>
        <w:tc>
          <w:tcPr>
            <w:tcW w:w="8220" w:type="dxa"/>
          </w:tcPr>
          <w:p w14:paraId="5694CCC4" w14:textId="63023C8A"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ECC/DEC/(18)06 – ECC 2018. gada 6. jūlija Lēmums par harmonizētiem </w:t>
            </w:r>
            <w:r w:rsidRPr="00CA72E5">
              <w:rPr>
                <w:rFonts w:ascii="Times New Roman" w:eastAsia="Times New Roman" w:hAnsi="Times New Roman" w:cs="Times New Roman"/>
                <w:spacing w:val="-2"/>
                <w:sz w:val="24"/>
                <w:szCs w:val="24"/>
                <w:lang w:eastAsia="lv-LV"/>
              </w:rPr>
              <w:t>tehniskajiem nosacījumiem mobilo/fiksēto sakaru tīkliem (MFCN) 24,25–27,5 GHz</w:t>
            </w:r>
            <w:r w:rsidRPr="00CA72E5">
              <w:rPr>
                <w:rFonts w:ascii="Times New Roman" w:eastAsia="Times New Roman" w:hAnsi="Times New Roman" w:cs="Times New Roman"/>
                <w:sz w:val="24"/>
                <w:szCs w:val="24"/>
                <w:lang w:eastAsia="lv-LV"/>
              </w:rPr>
              <w:t xml:space="preserve"> joslā (2020. gada 20. novembra redakcijā)</w:t>
            </w:r>
          </w:p>
        </w:tc>
      </w:tr>
      <w:tr w:rsidR="0090548A" w:rsidRPr="00CA72E5" w14:paraId="092755F6" w14:textId="77777777" w:rsidTr="5528B5C2">
        <w:tc>
          <w:tcPr>
            <w:tcW w:w="841" w:type="dxa"/>
          </w:tcPr>
          <w:p w14:paraId="48AFC8A2"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2.65.</w:t>
            </w:r>
          </w:p>
        </w:tc>
        <w:tc>
          <w:tcPr>
            <w:tcW w:w="8220" w:type="dxa"/>
          </w:tcPr>
          <w:p w14:paraId="1AB0BBF5" w14:textId="5B865D24"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ECC/DEC/(19)02–ECC 2019. gada 8. marta Lēmums par sauszemes mobilajām sistēmām frekvenču diapazonos 68–87,5 MHz, 146–174 MHz, 406,1–410 MHz, 410–430 MHz, 440–450 MHz un 450–470 MHz</w:t>
            </w:r>
          </w:p>
        </w:tc>
      </w:tr>
      <w:tr w:rsidR="0090548A" w:rsidRPr="00CA72E5" w14:paraId="2B385979" w14:textId="77777777" w:rsidTr="5528B5C2">
        <w:tc>
          <w:tcPr>
            <w:tcW w:w="841" w:type="dxa"/>
          </w:tcPr>
          <w:p w14:paraId="45197B6F"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2.66.</w:t>
            </w:r>
          </w:p>
        </w:tc>
        <w:tc>
          <w:tcPr>
            <w:tcW w:w="8220" w:type="dxa"/>
          </w:tcPr>
          <w:p w14:paraId="7DA12C95" w14:textId="60904E4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ECC/DEC/(19)03 – ECC 2019. gada 8. marta Lēmums par ITU Radionoteikumu 18. pielikuma kanālu (raidošās radiofrekvences jūras mobilajā VHF joslā) harmonizētu izmantošanu</w:t>
            </w:r>
          </w:p>
        </w:tc>
      </w:tr>
      <w:tr w:rsidR="0090548A" w:rsidRPr="00CA72E5" w14:paraId="5FBCD7E3" w14:textId="77777777" w:rsidTr="5528B5C2">
        <w:tc>
          <w:tcPr>
            <w:tcW w:w="841" w:type="dxa"/>
          </w:tcPr>
          <w:p w14:paraId="2BCD4ED9"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2.67.</w:t>
            </w:r>
          </w:p>
        </w:tc>
        <w:tc>
          <w:tcPr>
            <w:tcW w:w="8220" w:type="dxa"/>
          </w:tcPr>
          <w:p w14:paraId="7E56B724" w14:textId="4CB0042C"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ECC/DEC/(20)01 – ECC 2020. gada 20. novembra Lēmums par frekvenču joslas 5945–6425 MHz harmonizētu izmantošanu bezvadu piekļuves sistēmām, ieskaitot lokālos tīklus (WAS/RLAN)</w:t>
            </w:r>
          </w:p>
        </w:tc>
      </w:tr>
      <w:tr w:rsidR="0090548A" w:rsidRPr="00CA72E5" w14:paraId="7C51302F" w14:textId="77777777" w:rsidTr="5528B5C2">
        <w:tc>
          <w:tcPr>
            <w:tcW w:w="841" w:type="dxa"/>
          </w:tcPr>
          <w:p w14:paraId="6AB30A63" w14:textId="77777777"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2.68.</w:t>
            </w:r>
          </w:p>
        </w:tc>
        <w:tc>
          <w:tcPr>
            <w:tcW w:w="8220" w:type="dxa"/>
          </w:tcPr>
          <w:p w14:paraId="71A25985" w14:textId="6CDB32EE" w:rsidR="0090548A" w:rsidRPr="00CA72E5" w:rsidRDefault="0090548A" w:rsidP="0090548A">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ECC/DEC/(20)02 – ECC 2020. gada 20. novembra Lēmums par 874,4–880,0 MHz un 919,4–925,0 MHz sapāroto frekvenču joslu un 1900–1910 MHz nesapārotās frekvenču joslas harmonizētu izmantošanu dzelzceļu sakaru sistēmām (RMR) (2022. gada 10. jūnija redakcijā)</w:t>
            </w:r>
          </w:p>
        </w:tc>
      </w:tr>
    </w:tbl>
    <w:p w14:paraId="46C2E974" w14:textId="77777777" w:rsidR="00B831C6" w:rsidRPr="00CA72E5" w:rsidRDefault="008E0D70" w:rsidP="00965AEA">
      <w:pPr>
        <w:spacing w:before="100" w:beforeAutospacing="1" w:after="100" w:afterAutospacing="1" w:line="240" w:lineRule="auto"/>
        <w:rPr>
          <w:rFonts w:ascii="Times New Roman" w:eastAsia="Times New Roman" w:hAnsi="Times New Roman" w:cs="Times New Roman"/>
          <w:b/>
          <w:bCs/>
          <w:sz w:val="24"/>
          <w:szCs w:val="24"/>
          <w:lang w:eastAsia="lv-LV"/>
        </w:rPr>
      </w:pPr>
      <w:r w:rsidRPr="00CA72E5">
        <w:rPr>
          <w:rFonts w:ascii="Times New Roman" w:eastAsia="Times New Roman" w:hAnsi="Times New Roman" w:cs="Times New Roman"/>
          <w:b/>
          <w:bCs/>
          <w:sz w:val="24"/>
          <w:szCs w:val="24"/>
          <w:lang w:eastAsia="lv-LV"/>
        </w:rPr>
        <w:t xml:space="preserve">3. </w:t>
      </w:r>
      <w:r w:rsidR="00961D9C" w:rsidRPr="00CA72E5">
        <w:rPr>
          <w:rFonts w:ascii="Times New Roman" w:eastAsia="Times New Roman" w:hAnsi="Times New Roman" w:cs="Times New Roman"/>
          <w:b/>
          <w:bCs/>
          <w:sz w:val="24"/>
          <w:szCs w:val="24"/>
          <w:lang w:eastAsia="lv-LV"/>
        </w:rPr>
        <w:t xml:space="preserve">CEPT </w:t>
      </w:r>
      <w:r w:rsidR="00B831C6" w:rsidRPr="00CA72E5">
        <w:rPr>
          <w:rFonts w:ascii="Times New Roman" w:eastAsia="Times New Roman" w:hAnsi="Times New Roman" w:cs="Times New Roman"/>
          <w:b/>
          <w:bCs/>
          <w:sz w:val="24"/>
          <w:szCs w:val="24"/>
          <w:lang w:eastAsia="lv-LV"/>
        </w:rPr>
        <w:t>ECC (ERC) rekomendācija vai ziņojums</w:t>
      </w:r>
    </w:p>
    <w:tbl>
      <w:tblPr>
        <w:tblStyle w:val="TableGrid"/>
        <w:tblW w:w="0" w:type="auto"/>
        <w:tblLook w:val="04A0" w:firstRow="1" w:lastRow="0" w:firstColumn="1" w:lastColumn="0" w:noHBand="0" w:noVBand="1"/>
      </w:tblPr>
      <w:tblGrid>
        <w:gridCol w:w="846"/>
        <w:gridCol w:w="8215"/>
      </w:tblGrid>
      <w:tr w:rsidR="006E14AC" w:rsidRPr="00CA72E5" w14:paraId="5E70DCD8" w14:textId="77777777" w:rsidTr="021CAA16">
        <w:tc>
          <w:tcPr>
            <w:tcW w:w="846" w:type="dxa"/>
            <w:vAlign w:val="center"/>
          </w:tcPr>
          <w:p w14:paraId="3E82EAA5" w14:textId="77777777" w:rsidR="00CB699B" w:rsidRPr="00CA72E5" w:rsidRDefault="001F5866" w:rsidP="00965AEA">
            <w:pPr>
              <w:spacing w:after="120" w:line="315" w:lineRule="atLeast"/>
              <w:jc w:val="center"/>
              <w:rPr>
                <w:rFonts w:ascii="Times New Roman" w:eastAsia="Times New Roman" w:hAnsi="Times New Roman" w:cs="Times New Roman"/>
                <w:sz w:val="24"/>
                <w:szCs w:val="24"/>
                <w:lang w:eastAsia="lv-LV"/>
              </w:rPr>
            </w:pPr>
            <w:r w:rsidRPr="00CA72E5">
              <w:rPr>
                <w:rFonts w:ascii="Times New Roman" w:hAnsi="Times New Roman" w:cs="Times New Roman"/>
                <w:sz w:val="24"/>
                <w:szCs w:val="24"/>
              </w:rPr>
              <w:t>Nr. </w:t>
            </w:r>
            <w:r w:rsidRPr="00CA72E5">
              <w:rPr>
                <w:rFonts w:ascii="Times New Roman" w:hAnsi="Times New Roman" w:cs="Times New Roman"/>
                <w:sz w:val="24"/>
                <w:szCs w:val="24"/>
              </w:rPr>
              <w:br/>
              <w:t>p. k.</w:t>
            </w:r>
          </w:p>
        </w:tc>
        <w:tc>
          <w:tcPr>
            <w:tcW w:w="8215" w:type="dxa"/>
            <w:vAlign w:val="center"/>
          </w:tcPr>
          <w:p w14:paraId="3F709E2C" w14:textId="77777777" w:rsidR="00CB699B" w:rsidRPr="00CA72E5" w:rsidRDefault="006568C5" w:rsidP="00582F1F">
            <w:pPr>
              <w:spacing w:after="120" w:line="315" w:lineRule="atLeast"/>
              <w:jc w:val="center"/>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Nosaukums</w:t>
            </w:r>
          </w:p>
        </w:tc>
      </w:tr>
      <w:tr w:rsidR="006E14AC" w:rsidRPr="00CA72E5" w14:paraId="7AE0484E" w14:textId="77777777" w:rsidTr="021CAA16">
        <w:tc>
          <w:tcPr>
            <w:tcW w:w="846" w:type="dxa"/>
          </w:tcPr>
          <w:p w14:paraId="2AD522A9"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w:t>
            </w:r>
          </w:p>
        </w:tc>
        <w:tc>
          <w:tcPr>
            <w:tcW w:w="8215" w:type="dxa"/>
          </w:tcPr>
          <w:p w14:paraId="4D9F7F37" w14:textId="4EFD508A"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T/R 12-01 – Harmonizēts radiofrekvenču kanālu plānojums zemes analogajām un ciparu fiksētajām sistēmām, kas izmanto 37</w:t>
            </w:r>
            <w:r w:rsidR="00E51ED3"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0</w:t>
            </w:r>
            <w:r w:rsidR="00E51ED3"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39,5 GHz joslu (2019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29</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0F4695F2" w14:textId="77777777" w:rsidTr="021CAA16">
        <w:tc>
          <w:tcPr>
            <w:tcW w:w="846" w:type="dxa"/>
          </w:tcPr>
          <w:p w14:paraId="0942C4B0"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3.2.</w:t>
            </w:r>
          </w:p>
        </w:tc>
        <w:tc>
          <w:tcPr>
            <w:tcW w:w="8215" w:type="dxa"/>
          </w:tcPr>
          <w:p w14:paraId="61803A39" w14:textId="35F9B3E1"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T/R 13-01 – Ieteicamais kanālu plānojums fiksētā dienesta sistēmām, kas darbojas 1–2,3 GHz radiofrekvenču joslā (20</w:t>
            </w:r>
            <w:r w:rsidR="6044447C" w:rsidRPr="00CA72E5">
              <w:rPr>
                <w:rFonts w:ascii="Times New Roman" w:eastAsia="Times New Roman" w:hAnsi="Times New Roman" w:cs="Times New Roman"/>
                <w:sz w:val="24"/>
                <w:szCs w:val="24"/>
                <w:lang w:eastAsia="lv-LV"/>
              </w:rPr>
              <w:t>24</w:t>
            </w:r>
            <w:r w:rsidR="004A6E54" w:rsidRPr="00CA72E5">
              <w:rPr>
                <w:rFonts w:ascii="Times New Roman" w:eastAsia="Times New Roman" w:hAnsi="Times New Roman" w:cs="Times New Roman"/>
                <w:sz w:val="24"/>
                <w:szCs w:val="24"/>
                <w:lang w:eastAsia="lv-LV"/>
              </w:rPr>
              <w:t xml:space="preserve">. gada </w:t>
            </w:r>
            <w:r w:rsidR="18D34BA0" w:rsidRPr="00CA72E5">
              <w:rPr>
                <w:rFonts w:ascii="Times New Roman" w:eastAsia="Times New Roman" w:hAnsi="Times New Roman" w:cs="Times New Roman"/>
                <w:sz w:val="24"/>
                <w:szCs w:val="24"/>
                <w:lang w:eastAsia="lv-LV"/>
              </w:rPr>
              <w:t>10</w:t>
            </w:r>
            <w:r w:rsidR="004A6E54" w:rsidRPr="00CA72E5">
              <w:rPr>
                <w:rFonts w:ascii="Times New Roman" w:eastAsia="Times New Roman" w:hAnsi="Times New Roman" w:cs="Times New Roman"/>
                <w:sz w:val="24"/>
                <w:szCs w:val="24"/>
                <w:lang w:eastAsia="lv-LV"/>
              </w:rPr>
              <w:t>. </w:t>
            </w:r>
            <w:r w:rsidR="3F4B47AE" w:rsidRPr="00CA72E5">
              <w:rPr>
                <w:rFonts w:ascii="Times New Roman" w:eastAsia="Times New Roman" w:hAnsi="Times New Roman" w:cs="Times New Roman"/>
                <w:sz w:val="24"/>
                <w:szCs w:val="24"/>
                <w:lang w:eastAsia="lv-LV"/>
              </w:rPr>
              <w:t>maija</w:t>
            </w:r>
            <w:r w:rsidR="004A6E54"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redakcijā)</w:t>
            </w:r>
          </w:p>
        </w:tc>
      </w:tr>
      <w:tr w:rsidR="006E14AC" w:rsidRPr="00CA72E5" w14:paraId="5A76314B" w14:textId="77777777" w:rsidTr="021CAA16">
        <w:tc>
          <w:tcPr>
            <w:tcW w:w="846" w:type="dxa"/>
          </w:tcPr>
          <w:p w14:paraId="21F31459"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3.3.</w:t>
            </w:r>
          </w:p>
        </w:tc>
        <w:tc>
          <w:tcPr>
            <w:tcW w:w="8215" w:type="dxa"/>
          </w:tcPr>
          <w:p w14:paraId="05604CFD" w14:textId="0BE4E8BE"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T/R 13-02 </w:t>
            </w:r>
            <w:r w:rsidR="00E51ED3"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Ieteicamais kanālu plānojums fiksētajam dienestam 22,0–29,5 GHz joslā (2019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29</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03B8DCA4" w14:textId="77777777" w:rsidTr="021CAA16">
        <w:tc>
          <w:tcPr>
            <w:tcW w:w="846" w:type="dxa"/>
          </w:tcPr>
          <w:p w14:paraId="034DEA9C"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3.4.</w:t>
            </w:r>
          </w:p>
        </w:tc>
        <w:tc>
          <w:tcPr>
            <w:tcW w:w="8215" w:type="dxa"/>
          </w:tcPr>
          <w:p w14:paraId="5F2E0669" w14:textId="4E031A13"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T/R 25-08 – Sauszemes mobilā dienesta radiofrekvenču plānošana un koordinācija 29,7–470 MHz joslā (2018</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28</w:t>
            </w:r>
            <w:r w:rsidR="004A6E54" w:rsidRPr="00CA72E5">
              <w:rPr>
                <w:rFonts w:ascii="Times New Roman" w:eastAsia="Times New Roman" w:hAnsi="Times New Roman" w:cs="Times New Roman"/>
                <w:sz w:val="24"/>
                <w:szCs w:val="24"/>
                <w:lang w:eastAsia="lv-LV"/>
              </w:rPr>
              <w:t xml:space="preserve">. septembra </w:t>
            </w:r>
            <w:r w:rsidRPr="00CA72E5">
              <w:rPr>
                <w:rFonts w:ascii="Times New Roman" w:eastAsia="Times New Roman" w:hAnsi="Times New Roman" w:cs="Times New Roman"/>
                <w:sz w:val="24"/>
                <w:szCs w:val="24"/>
                <w:lang w:eastAsia="lv-LV"/>
              </w:rPr>
              <w:t>redakcijā)</w:t>
            </w:r>
          </w:p>
        </w:tc>
      </w:tr>
      <w:tr w:rsidR="006E14AC" w:rsidRPr="00CA72E5" w14:paraId="161DFEAB" w14:textId="77777777" w:rsidTr="021CAA16">
        <w:tc>
          <w:tcPr>
            <w:tcW w:w="846" w:type="dxa"/>
          </w:tcPr>
          <w:p w14:paraId="65F538AC"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3.5.</w:t>
            </w:r>
          </w:p>
        </w:tc>
        <w:tc>
          <w:tcPr>
            <w:tcW w:w="8215" w:type="dxa"/>
          </w:tcPr>
          <w:p w14:paraId="0B8C0810" w14:textId="2C609096"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T/R 61-01 – CEPT radioamatieru atļauja (</w:t>
            </w:r>
            <w:r w:rsidR="004B307F" w:rsidRPr="00CA72E5">
              <w:rPr>
                <w:rFonts w:ascii="Times New Roman" w:eastAsia="Times New Roman" w:hAnsi="Times New Roman" w:cs="Times New Roman"/>
                <w:sz w:val="24"/>
                <w:szCs w:val="24"/>
                <w:lang w:eastAsia="lv-LV"/>
              </w:rPr>
              <w:t>202</w:t>
            </w:r>
            <w:r w:rsidR="00974A9B" w:rsidRPr="00CA72E5">
              <w:rPr>
                <w:rFonts w:ascii="Times New Roman" w:eastAsia="Times New Roman" w:hAnsi="Times New Roman" w:cs="Times New Roman"/>
                <w:sz w:val="24"/>
                <w:szCs w:val="24"/>
                <w:lang w:eastAsia="lv-LV"/>
              </w:rPr>
              <w:t>4</w:t>
            </w:r>
            <w:r w:rsidR="004A6E54" w:rsidRPr="00CA72E5">
              <w:rPr>
                <w:rFonts w:ascii="Times New Roman" w:eastAsia="Times New Roman" w:hAnsi="Times New Roman" w:cs="Times New Roman"/>
                <w:sz w:val="24"/>
                <w:szCs w:val="24"/>
                <w:lang w:eastAsia="lv-LV"/>
              </w:rPr>
              <w:t xml:space="preserve">. gada </w:t>
            </w:r>
            <w:r w:rsidR="0091525E" w:rsidRPr="00CA72E5">
              <w:rPr>
                <w:rFonts w:ascii="Times New Roman" w:eastAsia="Times New Roman" w:hAnsi="Times New Roman" w:cs="Times New Roman"/>
                <w:sz w:val="24"/>
                <w:szCs w:val="24"/>
                <w:lang w:eastAsia="lv-LV"/>
              </w:rPr>
              <w:t>18</w:t>
            </w:r>
            <w:r w:rsidR="004A6E54" w:rsidRPr="00CA72E5">
              <w:rPr>
                <w:rFonts w:ascii="Times New Roman" w:eastAsia="Times New Roman" w:hAnsi="Times New Roman" w:cs="Times New Roman"/>
                <w:sz w:val="24"/>
                <w:szCs w:val="24"/>
                <w:lang w:eastAsia="lv-LV"/>
              </w:rPr>
              <w:t>. </w:t>
            </w:r>
            <w:r w:rsidR="0091525E" w:rsidRPr="00CA72E5">
              <w:rPr>
                <w:rFonts w:ascii="Times New Roman" w:eastAsia="Times New Roman" w:hAnsi="Times New Roman" w:cs="Times New Roman"/>
                <w:sz w:val="24"/>
                <w:szCs w:val="24"/>
                <w:lang w:eastAsia="lv-LV"/>
              </w:rPr>
              <w:t xml:space="preserve">oktobra </w:t>
            </w:r>
            <w:r w:rsidRPr="00CA72E5">
              <w:rPr>
                <w:rFonts w:ascii="Times New Roman" w:eastAsia="Times New Roman" w:hAnsi="Times New Roman" w:cs="Times New Roman"/>
                <w:sz w:val="24"/>
                <w:szCs w:val="24"/>
                <w:lang w:eastAsia="lv-LV"/>
              </w:rPr>
              <w:t>redakcijā)</w:t>
            </w:r>
          </w:p>
        </w:tc>
      </w:tr>
      <w:tr w:rsidR="006E14AC" w:rsidRPr="00CA72E5" w14:paraId="4A541AF3" w14:textId="77777777" w:rsidTr="021CAA16">
        <w:tc>
          <w:tcPr>
            <w:tcW w:w="846" w:type="dxa"/>
          </w:tcPr>
          <w:p w14:paraId="17BFAA15"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3.6.</w:t>
            </w:r>
          </w:p>
        </w:tc>
        <w:tc>
          <w:tcPr>
            <w:tcW w:w="8215" w:type="dxa"/>
          </w:tcPr>
          <w:p w14:paraId="2EECB7CE" w14:textId="656A2A93"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T/R 61-02 – Harmonizētās radioamatieru eksaminācijas apliecības (</w:t>
            </w:r>
            <w:r w:rsidR="004B307F" w:rsidRPr="00CA72E5">
              <w:rPr>
                <w:rFonts w:ascii="Times New Roman" w:eastAsia="Times New Roman" w:hAnsi="Times New Roman" w:cs="Times New Roman"/>
                <w:sz w:val="24"/>
                <w:szCs w:val="24"/>
                <w:lang w:eastAsia="lv-LV"/>
              </w:rPr>
              <w:t>202</w:t>
            </w:r>
            <w:r w:rsidR="00974A9B" w:rsidRPr="00CA72E5">
              <w:rPr>
                <w:rFonts w:ascii="Times New Roman" w:eastAsia="Times New Roman" w:hAnsi="Times New Roman" w:cs="Times New Roman"/>
                <w:sz w:val="24"/>
                <w:szCs w:val="24"/>
                <w:lang w:eastAsia="lv-LV"/>
              </w:rPr>
              <w:t>4</w:t>
            </w:r>
            <w:r w:rsidR="004A6E54" w:rsidRPr="00CA72E5">
              <w:rPr>
                <w:rFonts w:ascii="Times New Roman" w:eastAsia="Times New Roman" w:hAnsi="Times New Roman" w:cs="Times New Roman"/>
                <w:sz w:val="24"/>
                <w:szCs w:val="24"/>
                <w:lang w:eastAsia="lv-LV"/>
              </w:rPr>
              <w:t xml:space="preserve">. gada </w:t>
            </w:r>
            <w:r w:rsidR="004B307F" w:rsidRPr="00CA72E5">
              <w:rPr>
                <w:rFonts w:ascii="Times New Roman" w:eastAsia="Times New Roman" w:hAnsi="Times New Roman" w:cs="Times New Roman"/>
                <w:sz w:val="24"/>
                <w:szCs w:val="24"/>
                <w:lang w:eastAsia="lv-LV"/>
              </w:rPr>
              <w:t>1</w:t>
            </w:r>
            <w:r w:rsidR="00974A9B" w:rsidRPr="00CA72E5">
              <w:rPr>
                <w:rFonts w:ascii="Times New Roman" w:eastAsia="Times New Roman" w:hAnsi="Times New Roman" w:cs="Times New Roman"/>
                <w:sz w:val="24"/>
                <w:szCs w:val="24"/>
                <w:lang w:eastAsia="lv-LV"/>
              </w:rPr>
              <w:t>6</w:t>
            </w:r>
            <w:r w:rsidR="004A6E54" w:rsidRPr="00CA72E5">
              <w:rPr>
                <w:rFonts w:ascii="Times New Roman" w:eastAsia="Times New Roman" w:hAnsi="Times New Roman" w:cs="Times New Roman"/>
                <w:sz w:val="24"/>
                <w:szCs w:val="24"/>
                <w:lang w:eastAsia="lv-LV"/>
              </w:rPr>
              <w:t>. </w:t>
            </w:r>
            <w:r w:rsidR="00974A9B" w:rsidRPr="00CA72E5">
              <w:rPr>
                <w:rFonts w:ascii="Times New Roman" w:eastAsia="Times New Roman" w:hAnsi="Times New Roman" w:cs="Times New Roman"/>
                <w:sz w:val="24"/>
                <w:szCs w:val="24"/>
                <w:lang w:eastAsia="lv-LV"/>
              </w:rPr>
              <w:t>februāra</w:t>
            </w:r>
            <w:r w:rsidR="004B307F"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redakcijā)</w:t>
            </w:r>
          </w:p>
        </w:tc>
      </w:tr>
      <w:tr w:rsidR="006E14AC" w:rsidRPr="00CA72E5" w14:paraId="05690312" w14:textId="77777777" w:rsidTr="021CAA16">
        <w:tc>
          <w:tcPr>
            <w:tcW w:w="846" w:type="dxa"/>
          </w:tcPr>
          <w:p w14:paraId="179AB033"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3.7.</w:t>
            </w:r>
          </w:p>
        </w:tc>
        <w:tc>
          <w:tcPr>
            <w:tcW w:w="8215" w:type="dxa"/>
          </w:tcPr>
          <w:p w14:paraId="246658CA" w14:textId="0F6D3F1C"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12-02 – Harmonizēts radiofrekvenču kanālu plānojums zemes analogajām un ciparu fiksētajām sistēmām, kuras izmanto joslu no 12,75 GHz līdz 13,25 GHz (2007</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15</w:t>
            </w:r>
            <w:r w:rsidR="004A6E54" w:rsidRPr="00CA72E5">
              <w:rPr>
                <w:rFonts w:ascii="Times New Roman" w:eastAsia="Times New Roman" w:hAnsi="Times New Roman" w:cs="Times New Roman"/>
                <w:sz w:val="24"/>
                <w:szCs w:val="24"/>
                <w:lang w:eastAsia="lv-LV"/>
              </w:rPr>
              <w:t xml:space="preserve">. jūnija </w:t>
            </w:r>
            <w:r w:rsidRPr="00CA72E5">
              <w:rPr>
                <w:rFonts w:ascii="Times New Roman" w:eastAsia="Times New Roman" w:hAnsi="Times New Roman" w:cs="Times New Roman"/>
                <w:sz w:val="24"/>
                <w:szCs w:val="24"/>
                <w:lang w:eastAsia="lv-LV"/>
              </w:rPr>
              <w:t>redakcijā)</w:t>
            </w:r>
          </w:p>
        </w:tc>
      </w:tr>
      <w:tr w:rsidR="006E14AC" w:rsidRPr="00CA72E5" w14:paraId="6429F12B" w14:textId="77777777" w:rsidTr="021CAA16">
        <w:tc>
          <w:tcPr>
            <w:tcW w:w="846" w:type="dxa"/>
          </w:tcPr>
          <w:p w14:paraId="28A77A2B"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3.8.</w:t>
            </w:r>
          </w:p>
        </w:tc>
        <w:tc>
          <w:tcPr>
            <w:tcW w:w="8215" w:type="dxa"/>
          </w:tcPr>
          <w:p w14:paraId="3C06990A" w14:textId="37D58019"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ERC/REC 12-03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Harmonizēts radiofrekvenču kanālu plānojums zemes ciparu fiksētajām sistēmām, kuras izmanto joslu no 17,7 GHz līdz 19,7 GHz (2019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29</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3DC3B343" w14:textId="77777777" w:rsidTr="021CAA16">
        <w:tc>
          <w:tcPr>
            <w:tcW w:w="846" w:type="dxa"/>
          </w:tcPr>
          <w:p w14:paraId="3815E4F9"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3.9.</w:t>
            </w:r>
          </w:p>
        </w:tc>
        <w:tc>
          <w:tcPr>
            <w:tcW w:w="8215" w:type="dxa"/>
          </w:tcPr>
          <w:p w14:paraId="3AFE02F1" w14:textId="75211FFF"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12-05 – Harmonizēts radiofrekvenču kanālu plānojums zemes ciparu fiksētajām sistēmām, kuras izmanto 10,0–10,68 GHz joslu (2007</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15</w:t>
            </w:r>
            <w:r w:rsidR="004A6E54" w:rsidRPr="00CA72E5">
              <w:rPr>
                <w:rFonts w:ascii="Times New Roman" w:eastAsia="Times New Roman" w:hAnsi="Times New Roman" w:cs="Times New Roman"/>
                <w:sz w:val="24"/>
                <w:szCs w:val="24"/>
                <w:lang w:eastAsia="lv-LV"/>
              </w:rPr>
              <w:t xml:space="preserve">. jūnija </w:t>
            </w:r>
            <w:r w:rsidRPr="00CA72E5">
              <w:rPr>
                <w:rFonts w:ascii="Times New Roman" w:eastAsia="Times New Roman" w:hAnsi="Times New Roman" w:cs="Times New Roman"/>
                <w:sz w:val="24"/>
                <w:szCs w:val="24"/>
                <w:lang w:eastAsia="lv-LV"/>
              </w:rPr>
              <w:t>redakcijā)</w:t>
            </w:r>
          </w:p>
        </w:tc>
      </w:tr>
      <w:tr w:rsidR="006E14AC" w:rsidRPr="00CA72E5" w14:paraId="2575A7A0" w14:textId="77777777" w:rsidTr="021CAA16">
        <w:tc>
          <w:tcPr>
            <w:tcW w:w="846" w:type="dxa"/>
          </w:tcPr>
          <w:p w14:paraId="17C0F7C5"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3.10.</w:t>
            </w:r>
          </w:p>
        </w:tc>
        <w:tc>
          <w:tcPr>
            <w:tcW w:w="8215" w:type="dxa"/>
          </w:tcPr>
          <w:p w14:paraId="60EDFFA8" w14:textId="4244F7BB"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12-06 – Ieteicamais kanālu plānojums fiksētā dienesta ciparu sistēmām, kuras izmanto 10,7–11,7 GHz joslu (2019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29</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120B5EE0" w14:textId="77777777" w:rsidTr="021CAA16">
        <w:tc>
          <w:tcPr>
            <w:tcW w:w="846" w:type="dxa"/>
          </w:tcPr>
          <w:p w14:paraId="2DAC6591"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3.11.</w:t>
            </w:r>
          </w:p>
        </w:tc>
        <w:tc>
          <w:tcPr>
            <w:tcW w:w="8215" w:type="dxa"/>
          </w:tcPr>
          <w:p w14:paraId="49C1273E" w14:textId="02B92E86"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12-07 – Harmonizēts radiofrekvenču kanālu plānojums zemes ciparu fiksētajām sistēmām, kuras izmanto duplekso joslu 14,5–14,62 GHz un 15,23–15,35 GHz</w:t>
            </w:r>
          </w:p>
        </w:tc>
      </w:tr>
      <w:tr w:rsidR="006E14AC" w:rsidRPr="00CA72E5" w14:paraId="76C24A63" w14:textId="77777777" w:rsidTr="021CAA16">
        <w:tc>
          <w:tcPr>
            <w:tcW w:w="846" w:type="dxa"/>
          </w:tcPr>
          <w:p w14:paraId="594379AF"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3.12.</w:t>
            </w:r>
          </w:p>
        </w:tc>
        <w:tc>
          <w:tcPr>
            <w:tcW w:w="8215" w:type="dxa"/>
          </w:tcPr>
          <w:p w14:paraId="0CA02544" w14:textId="7D9F71E1"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12-11 – Radiofrekvenču kanālu plānojums fiksētā dienesta sistēmām, kuras izmanto 51,4–52,6 GHz joslu (2015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8</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7C87780A" w14:textId="77777777" w:rsidTr="021CAA16">
        <w:tc>
          <w:tcPr>
            <w:tcW w:w="846" w:type="dxa"/>
          </w:tcPr>
          <w:p w14:paraId="16ACAA02"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3.13.</w:t>
            </w:r>
          </w:p>
        </w:tc>
        <w:tc>
          <w:tcPr>
            <w:tcW w:w="8215" w:type="dxa"/>
          </w:tcPr>
          <w:p w14:paraId="7902D3E2" w14:textId="0F805F71"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12-12 – Radiofrekvenču kanālu plānojums fiksētā dienesta sistēmām, kuras izmanto 55,78–57,0 GHz joslu (2015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30</w:t>
            </w:r>
            <w:r w:rsidR="004A6E54" w:rsidRPr="00CA72E5">
              <w:rPr>
                <w:rFonts w:ascii="Times New Roman" w:eastAsia="Times New Roman" w:hAnsi="Times New Roman" w:cs="Times New Roman"/>
                <w:sz w:val="24"/>
                <w:szCs w:val="24"/>
                <w:lang w:eastAsia="lv-LV"/>
              </w:rPr>
              <w:t xml:space="preserve">. janvāra </w:t>
            </w:r>
            <w:r w:rsidRPr="00CA72E5">
              <w:rPr>
                <w:rFonts w:ascii="Times New Roman" w:eastAsia="Times New Roman" w:hAnsi="Times New Roman" w:cs="Times New Roman"/>
                <w:sz w:val="24"/>
                <w:szCs w:val="24"/>
                <w:lang w:eastAsia="lv-LV"/>
              </w:rPr>
              <w:t>redakcijā)</w:t>
            </w:r>
          </w:p>
        </w:tc>
      </w:tr>
      <w:tr w:rsidR="006E14AC" w:rsidRPr="00CA72E5" w14:paraId="410E05F6" w14:textId="77777777" w:rsidTr="021CAA16">
        <w:tc>
          <w:tcPr>
            <w:tcW w:w="846" w:type="dxa"/>
          </w:tcPr>
          <w:p w14:paraId="74150A0C"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3.14.</w:t>
            </w:r>
          </w:p>
        </w:tc>
        <w:tc>
          <w:tcPr>
            <w:tcW w:w="8215" w:type="dxa"/>
          </w:tcPr>
          <w:p w14:paraId="662F5648" w14:textId="2BED341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ERC/REC 13-03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14,0–14,5 GHz joslas izmantošana satelītu galiekārtām ar ļoti mazu antenas atvērumu (VSAT) un satelītu sakariem ziņu savākšanai (SNG)</w:t>
            </w:r>
          </w:p>
        </w:tc>
      </w:tr>
      <w:tr w:rsidR="006E14AC" w:rsidRPr="00CA72E5" w14:paraId="5C453EE8" w14:textId="77777777" w:rsidTr="021CAA16">
        <w:tc>
          <w:tcPr>
            <w:tcW w:w="846" w:type="dxa"/>
          </w:tcPr>
          <w:p w14:paraId="5207873B"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3.15.</w:t>
            </w:r>
          </w:p>
        </w:tc>
        <w:tc>
          <w:tcPr>
            <w:tcW w:w="8215" w:type="dxa"/>
          </w:tcPr>
          <w:p w14:paraId="05DBCC9C" w14:textId="2238F9C9"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14-01 – Radiofrekvenču kanālu plānojums lielas ietilpības analogajām vai ciparu radioreleju sistēmām, kuras izmanto 5925–6425 MHz joslu (2015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8</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3230944A" w14:textId="77777777" w:rsidTr="021CAA16">
        <w:tc>
          <w:tcPr>
            <w:tcW w:w="846" w:type="dxa"/>
          </w:tcPr>
          <w:p w14:paraId="678B39FF"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3.16.</w:t>
            </w:r>
          </w:p>
        </w:tc>
        <w:tc>
          <w:tcPr>
            <w:tcW w:w="8215" w:type="dxa"/>
          </w:tcPr>
          <w:p w14:paraId="633CE52B" w14:textId="720DDBDD"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14-02 – Radiofrekvenču kanālu plānojums vidējas un lielas ietilpības analogajām vai lielas ietilpības ciparu radioreleju sistēmām, kuras izmanto 6425–7125 MHz joslu (2014</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19</w:t>
            </w:r>
            <w:r w:rsidR="004A6E54" w:rsidRPr="00CA72E5">
              <w:rPr>
                <w:rFonts w:ascii="Times New Roman" w:eastAsia="Times New Roman" w:hAnsi="Times New Roman" w:cs="Times New Roman"/>
                <w:sz w:val="24"/>
                <w:szCs w:val="24"/>
                <w:lang w:eastAsia="lv-LV"/>
              </w:rPr>
              <w:t xml:space="preserve">. septembra </w:t>
            </w:r>
            <w:r w:rsidRPr="00CA72E5">
              <w:rPr>
                <w:rFonts w:ascii="Times New Roman" w:eastAsia="Times New Roman" w:hAnsi="Times New Roman" w:cs="Times New Roman"/>
                <w:sz w:val="24"/>
                <w:szCs w:val="24"/>
                <w:lang w:eastAsia="lv-LV"/>
              </w:rPr>
              <w:t>redakcijā)</w:t>
            </w:r>
          </w:p>
        </w:tc>
      </w:tr>
      <w:tr w:rsidR="006E14AC" w:rsidRPr="00CA72E5" w14:paraId="68697A62" w14:textId="77777777" w:rsidTr="021CAA16">
        <w:tc>
          <w:tcPr>
            <w:tcW w:w="846" w:type="dxa"/>
          </w:tcPr>
          <w:p w14:paraId="0CB5A36B"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3.17.</w:t>
            </w:r>
          </w:p>
        </w:tc>
        <w:tc>
          <w:tcPr>
            <w:tcW w:w="8215" w:type="dxa"/>
          </w:tcPr>
          <w:p w14:paraId="2F4AECC1" w14:textId="2B18869D"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25-10</w:t>
            </w:r>
            <w:r w:rsidR="000407C7"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 xml:space="preserve"> Frekvenču joslas skaņas un video programmu gatavošanas un īpašo pasākumu ierīcēm (PMSE) zemes lietojumiem (</w:t>
            </w:r>
            <w:r w:rsidR="004B307F" w:rsidRPr="00CA72E5">
              <w:rPr>
                <w:rFonts w:ascii="Times New Roman" w:eastAsia="Times New Roman" w:hAnsi="Times New Roman" w:cs="Times New Roman"/>
                <w:sz w:val="24"/>
                <w:szCs w:val="24"/>
                <w:lang w:eastAsia="lv-LV"/>
              </w:rPr>
              <w:t>2023</w:t>
            </w:r>
            <w:r w:rsidR="004A6E54" w:rsidRPr="00CA72E5">
              <w:rPr>
                <w:rFonts w:ascii="Times New Roman" w:eastAsia="Times New Roman" w:hAnsi="Times New Roman" w:cs="Times New Roman"/>
                <w:sz w:val="24"/>
                <w:szCs w:val="24"/>
                <w:lang w:eastAsia="lv-LV"/>
              </w:rPr>
              <w:t xml:space="preserve">. gada </w:t>
            </w:r>
            <w:r w:rsidR="004B307F" w:rsidRPr="00CA72E5">
              <w:rPr>
                <w:rFonts w:ascii="Times New Roman" w:eastAsia="Times New Roman" w:hAnsi="Times New Roman" w:cs="Times New Roman"/>
                <w:sz w:val="24"/>
                <w:szCs w:val="24"/>
                <w:lang w:eastAsia="lv-LV"/>
              </w:rPr>
              <w:t>16</w:t>
            </w:r>
            <w:r w:rsidR="004A6E54" w:rsidRPr="00CA72E5">
              <w:rPr>
                <w:rFonts w:ascii="Times New Roman" w:eastAsia="Times New Roman" w:hAnsi="Times New Roman" w:cs="Times New Roman"/>
                <w:sz w:val="24"/>
                <w:szCs w:val="24"/>
                <w:lang w:eastAsia="lv-LV"/>
              </w:rPr>
              <w:t>. </w:t>
            </w:r>
            <w:r w:rsidR="004B307F" w:rsidRPr="00CA72E5">
              <w:rPr>
                <w:rFonts w:ascii="Times New Roman" w:eastAsia="Times New Roman" w:hAnsi="Times New Roman" w:cs="Times New Roman"/>
                <w:sz w:val="24"/>
                <w:szCs w:val="24"/>
                <w:lang w:eastAsia="lv-LV"/>
              </w:rPr>
              <w:t xml:space="preserve">jūnija </w:t>
            </w:r>
            <w:r w:rsidRPr="00CA72E5">
              <w:rPr>
                <w:rFonts w:ascii="Times New Roman" w:eastAsia="Times New Roman" w:hAnsi="Times New Roman" w:cs="Times New Roman"/>
                <w:sz w:val="24"/>
                <w:szCs w:val="24"/>
                <w:lang w:eastAsia="lv-LV"/>
              </w:rPr>
              <w:t>redakcijā)</w:t>
            </w:r>
          </w:p>
        </w:tc>
      </w:tr>
      <w:tr w:rsidR="006E14AC" w:rsidRPr="00CA72E5" w14:paraId="0CC3C0E4" w14:textId="77777777" w:rsidTr="021CAA16">
        <w:tc>
          <w:tcPr>
            <w:tcW w:w="846" w:type="dxa"/>
          </w:tcPr>
          <w:p w14:paraId="3188EC60"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3.18.</w:t>
            </w:r>
          </w:p>
        </w:tc>
        <w:tc>
          <w:tcPr>
            <w:tcW w:w="8215" w:type="dxa"/>
          </w:tcPr>
          <w:p w14:paraId="6CE0F27E" w14:textId="4952F35B"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 70-03 – Par maza darbības attāluma ierīču (SRD) lietošanu (</w:t>
            </w:r>
            <w:r w:rsidR="004B307F" w:rsidRPr="00CA72E5">
              <w:rPr>
                <w:rFonts w:ascii="Times New Roman" w:eastAsia="Times New Roman" w:hAnsi="Times New Roman" w:cs="Times New Roman"/>
                <w:sz w:val="24"/>
                <w:szCs w:val="24"/>
                <w:lang w:eastAsia="lv-LV"/>
              </w:rPr>
              <w:t>2023</w:t>
            </w:r>
            <w:r w:rsidR="004A6E54" w:rsidRPr="00CA72E5">
              <w:rPr>
                <w:rFonts w:ascii="Times New Roman" w:eastAsia="Times New Roman" w:hAnsi="Times New Roman" w:cs="Times New Roman"/>
                <w:sz w:val="24"/>
                <w:szCs w:val="24"/>
                <w:lang w:eastAsia="lv-LV"/>
              </w:rPr>
              <w:t xml:space="preserve">. gada </w:t>
            </w:r>
            <w:r w:rsidR="004B307F" w:rsidRPr="00CA72E5">
              <w:rPr>
                <w:rFonts w:ascii="Times New Roman" w:eastAsia="Times New Roman" w:hAnsi="Times New Roman" w:cs="Times New Roman"/>
                <w:sz w:val="24"/>
                <w:szCs w:val="24"/>
                <w:lang w:eastAsia="lv-LV"/>
              </w:rPr>
              <w:t>16</w:t>
            </w:r>
            <w:r w:rsidR="004A6E54" w:rsidRPr="00CA72E5">
              <w:rPr>
                <w:rFonts w:ascii="Times New Roman" w:eastAsia="Times New Roman" w:hAnsi="Times New Roman" w:cs="Times New Roman"/>
                <w:sz w:val="24"/>
                <w:szCs w:val="24"/>
                <w:lang w:eastAsia="lv-LV"/>
              </w:rPr>
              <w:t xml:space="preserve">. jūnija </w:t>
            </w:r>
            <w:r w:rsidRPr="00CA72E5">
              <w:rPr>
                <w:rFonts w:ascii="Times New Roman" w:eastAsia="Times New Roman" w:hAnsi="Times New Roman" w:cs="Times New Roman"/>
                <w:sz w:val="24"/>
                <w:szCs w:val="24"/>
                <w:lang w:eastAsia="lv-LV"/>
              </w:rPr>
              <w:t>redakcijā)</w:t>
            </w:r>
          </w:p>
        </w:tc>
      </w:tr>
      <w:tr w:rsidR="006E14AC" w:rsidRPr="00CA72E5" w14:paraId="6A91935D" w14:textId="77777777" w:rsidTr="021CAA16">
        <w:tc>
          <w:tcPr>
            <w:tcW w:w="846" w:type="dxa"/>
          </w:tcPr>
          <w:p w14:paraId="4CCB9AB5"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3.19.</w:t>
            </w:r>
          </w:p>
        </w:tc>
        <w:tc>
          <w:tcPr>
            <w:tcW w:w="8215" w:type="dxa"/>
          </w:tcPr>
          <w:p w14:paraId="39FAEE37"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ERC/REC/(00)04 – Harmonizētās radiofrekvences, brīvā aprite un lietošana radioiekārtām, kuras paredzētas sakariem, izmantojot radioviļņu atstarošanos no meteorītu pēdām</w:t>
            </w:r>
          </w:p>
        </w:tc>
      </w:tr>
      <w:tr w:rsidR="006E14AC" w:rsidRPr="00CA72E5" w14:paraId="51F63FC8" w14:textId="77777777" w:rsidTr="021CAA16">
        <w:tc>
          <w:tcPr>
            <w:tcW w:w="846" w:type="dxa"/>
          </w:tcPr>
          <w:p w14:paraId="6DCF3963"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3.20.</w:t>
            </w:r>
          </w:p>
        </w:tc>
        <w:tc>
          <w:tcPr>
            <w:tcW w:w="8215" w:type="dxa"/>
          </w:tcPr>
          <w:p w14:paraId="41D98CAA" w14:textId="4FDEF07C"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ERC/REC/(01)02 – Ieteicamais kanālu plānojums fiksētā dienesta ciparu sistēmām, kuras izmanto 31,8–33,4 GHz radiofrekvenču joslu (2019</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29</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74AA5D75" w14:textId="77777777" w:rsidTr="021CAA16">
        <w:tc>
          <w:tcPr>
            <w:tcW w:w="846" w:type="dxa"/>
          </w:tcPr>
          <w:p w14:paraId="6EF9B651"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3.21.</w:t>
            </w:r>
          </w:p>
        </w:tc>
        <w:tc>
          <w:tcPr>
            <w:tcW w:w="8215" w:type="dxa"/>
          </w:tcPr>
          <w:p w14:paraId="7CD43962" w14:textId="41743C29"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ECC/REC/(01)04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Ieteikumi multimediju bezvadu sistēmu (MWS) ieviešanai 40,5–43,5 GHz joslā (2014</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13</w:t>
            </w:r>
            <w:r w:rsidR="004A6E54" w:rsidRPr="00CA72E5">
              <w:rPr>
                <w:rFonts w:ascii="Times New Roman" w:eastAsia="Times New Roman" w:hAnsi="Times New Roman" w:cs="Times New Roman"/>
                <w:sz w:val="24"/>
                <w:szCs w:val="24"/>
                <w:lang w:eastAsia="lv-LV"/>
              </w:rPr>
              <w:t xml:space="preserve">. maija </w:t>
            </w:r>
            <w:r w:rsidRPr="00CA72E5">
              <w:rPr>
                <w:rFonts w:ascii="Times New Roman" w:eastAsia="Times New Roman" w:hAnsi="Times New Roman" w:cs="Times New Roman"/>
                <w:sz w:val="24"/>
                <w:szCs w:val="24"/>
                <w:lang w:eastAsia="lv-LV"/>
              </w:rPr>
              <w:t>redakcijā)</w:t>
            </w:r>
          </w:p>
        </w:tc>
      </w:tr>
      <w:tr w:rsidR="006E14AC" w:rsidRPr="00CA72E5" w14:paraId="251EB984" w14:textId="77777777" w:rsidTr="021CAA16">
        <w:tc>
          <w:tcPr>
            <w:tcW w:w="846" w:type="dxa"/>
          </w:tcPr>
          <w:p w14:paraId="46D05142"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3.22.</w:t>
            </w:r>
          </w:p>
        </w:tc>
        <w:tc>
          <w:tcPr>
            <w:tcW w:w="8215" w:type="dxa"/>
          </w:tcPr>
          <w:p w14:paraId="40CA1F47" w14:textId="78520EC8"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ECC/REC/(02)02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Kanālu plānojums fiksētā dienesta ciparu sistēmām (punkts</w:t>
            </w:r>
            <w:r w:rsidR="00E51ED3"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punkts un punkts</w:t>
            </w:r>
            <w:r w:rsidR="00E51ED3"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daudzpunkti), kuras izmanto 31–31,3 GHz joslu (2010</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5</w:t>
            </w:r>
            <w:r w:rsidR="004A6E54" w:rsidRPr="00CA72E5">
              <w:rPr>
                <w:rFonts w:ascii="Times New Roman" w:eastAsia="Times New Roman" w:hAnsi="Times New Roman" w:cs="Times New Roman"/>
                <w:sz w:val="24"/>
                <w:szCs w:val="24"/>
                <w:lang w:eastAsia="lv-LV"/>
              </w:rPr>
              <w:t xml:space="preserve">. februāra </w:t>
            </w:r>
            <w:r w:rsidRPr="00CA72E5">
              <w:rPr>
                <w:rFonts w:ascii="Times New Roman" w:eastAsia="Times New Roman" w:hAnsi="Times New Roman" w:cs="Times New Roman"/>
                <w:sz w:val="24"/>
                <w:szCs w:val="24"/>
                <w:lang w:eastAsia="lv-LV"/>
              </w:rPr>
              <w:t>redakcijā)</w:t>
            </w:r>
          </w:p>
        </w:tc>
      </w:tr>
      <w:tr w:rsidR="006E14AC" w:rsidRPr="00CA72E5" w14:paraId="3A79CB81" w14:textId="77777777" w:rsidTr="021CAA16">
        <w:tc>
          <w:tcPr>
            <w:tcW w:w="846" w:type="dxa"/>
          </w:tcPr>
          <w:p w14:paraId="26BFC4D0"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3.23.</w:t>
            </w:r>
          </w:p>
        </w:tc>
        <w:tc>
          <w:tcPr>
            <w:tcW w:w="8215" w:type="dxa"/>
          </w:tcPr>
          <w:p w14:paraId="25EE1A75" w14:textId="0CF78FB1"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ECC/REC/(02)06 – Ieteicamais kanālu plānojums fiksētā dienesta ciparu sistēmām, kuras izmanto 7125–8500 MHz joslu (2015</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19</w:t>
            </w:r>
            <w:r w:rsidR="004A6E54" w:rsidRPr="00CA72E5">
              <w:rPr>
                <w:rFonts w:ascii="Times New Roman" w:eastAsia="Times New Roman" w:hAnsi="Times New Roman" w:cs="Times New Roman"/>
                <w:sz w:val="24"/>
                <w:szCs w:val="24"/>
                <w:lang w:eastAsia="lv-LV"/>
              </w:rPr>
              <w:t xml:space="preserve">. jūnija </w:t>
            </w:r>
            <w:r w:rsidRPr="00CA72E5">
              <w:rPr>
                <w:rFonts w:ascii="Times New Roman" w:eastAsia="Times New Roman" w:hAnsi="Times New Roman" w:cs="Times New Roman"/>
                <w:sz w:val="24"/>
                <w:szCs w:val="24"/>
                <w:lang w:eastAsia="lv-LV"/>
              </w:rPr>
              <w:t>redakcijā)</w:t>
            </w:r>
          </w:p>
        </w:tc>
      </w:tr>
      <w:tr w:rsidR="006E14AC" w:rsidRPr="00CA72E5" w14:paraId="47CE2978" w14:textId="77777777" w:rsidTr="021CAA16">
        <w:tc>
          <w:tcPr>
            <w:tcW w:w="846" w:type="dxa"/>
          </w:tcPr>
          <w:p w14:paraId="6D80D4E6"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3.24.</w:t>
            </w:r>
          </w:p>
        </w:tc>
        <w:tc>
          <w:tcPr>
            <w:tcW w:w="8215" w:type="dxa"/>
          </w:tcPr>
          <w:p w14:paraId="02746EE0" w14:textId="17C297D0"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ECC/REC/(05)06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CEPT iesācēju radioamatieru atļauja (</w:t>
            </w:r>
            <w:r w:rsidR="004B307F" w:rsidRPr="00CA72E5">
              <w:rPr>
                <w:rFonts w:ascii="Times New Roman" w:eastAsia="Times New Roman" w:hAnsi="Times New Roman" w:cs="Times New Roman"/>
                <w:sz w:val="24"/>
                <w:szCs w:val="24"/>
                <w:lang w:eastAsia="lv-LV"/>
              </w:rPr>
              <w:t>202</w:t>
            </w:r>
            <w:r w:rsidR="0098569B" w:rsidRPr="00CA72E5">
              <w:rPr>
                <w:rFonts w:ascii="Times New Roman" w:eastAsia="Times New Roman" w:hAnsi="Times New Roman" w:cs="Times New Roman"/>
                <w:sz w:val="24"/>
                <w:szCs w:val="24"/>
                <w:lang w:eastAsia="lv-LV"/>
              </w:rPr>
              <w:t>4</w:t>
            </w:r>
            <w:r w:rsidR="004A6E54" w:rsidRPr="00CA72E5">
              <w:rPr>
                <w:rFonts w:ascii="Times New Roman" w:eastAsia="Times New Roman" w:hAnsi="Times New Roman" w:cs="Times New Roman"/>
                <w:sz w:val="24"/>
                <w:szCs w:val="24"/>
                <w:lang w:eastAsia="lv-LV"/>
              </w:rPr>
              <w:t xml:space="preserve">. gada </w:t>
            </w:r>
            <w:r w:rsidR="004B307F" w:rsidRPr="00CA72E5">
              <w:rPr>
                <w:rFonts w:ascii="Times New Roman" w:eastAsia="Times New Roman" w:hAnsi="Times New Roman" w:cs="Times New Roman"/>
                <w:sz w:val="24"/>
                <w:szCs w:val="24"/>
                <w:lang w:eastAsia="lv-LV"/>
              </w:rPr>
              <w:t>2</w:t>
            </w:r>
            <w:r w:rsidR="004A6E54" w:rsidRPr="00CA72E5">
              <w:rPr>
                <w:rFonts w:ascii="Times New Roman" w:eastAsia="Times New Roman" w:hAnsi="Times New Roman" w:cs="Times New Roman"/>
                <w:sz w:val="24"/>
                <w:szCs w:val="24"/>
                <w:lang w:eastAsia="lv-LV"/>
              </w:rPr>
              <w:t>. </w:t>
            </w:r>
            <w:r w:rsidR="0098569B" w:rsidRPr="00CA72E5">
              <w:rPr>
                <w:rFonts w:ascii="Times New Roman" w:eastAsia="Times New Roman" w:hAnsi="Times New Roman" w:cs="Times New Roman"/>
                <w:sz w:val="24"/>
                <w:szCs w:val="24"/>
                <w:lang w:eastAsia="lv-LV"/>
              </w:rPr>
              <w:t>februāra</w:t>
            </w:r>
            <w:r w:rsidR="004B307F" w:rsidRPr="00CA72E5">
              <w:rPr>
                <w:rFonts w:ascii="Times New Roman" w:eastAsia="Times New Roman" w:hAnsi="Times New Roman" w:cs="Times New Roman"/>
                <w:sz w:val="24"/>
                <w:szCs w:val="24"/>
                <w:lang w:eastAsia="lv-LV"/>
              </w:rPr>
              <w:t xml:space="preserve"> </w:t>
            </w:r>
            <w:r w:rsidRPr="00CA72E5">
              <w:rPr>
                <w:rFonts w:ascii="Times New Roman" w:eastAsia="Times New Roman" w:hAnsi="Times New Roman" w:cs="Times New Roman"/>
                <w:sz w:val="24"/>
                <w:szCs w:val="24"/>
                <w:lang w:eastAsia="lv-LV"/>
              </w:rPr>
              <w:t>redakcijā)</w:t>
            </w:r>
          </w:p>
        </w:tc>
      </w:tr>
      <w:tr w:rsidR="006E14AC" w:rsidRPr="00CA72E5" w14:paraId="1B267B1E" w14:textId="77777777" w:rsidTr="021CAA16">
        <w:tc>
          <w:tcPr>
            <w:tcW w:w="846" w:type="dxa"/>
          </w:tcPr>
          <w:p w14:paraId="4B19ACDF"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3.25.</w:t>
            </w:r>
          </w:p>
        </w:tc>
        <w:tc>
          <w:tcPr>
            <w:tcW w:w="8215" w:type="dxa"/>
          </w:tcPr>
          <w:p w14:paraId="3309D468" w14:textId="437A713D" w:rsidR="00CB699B" w:rsidRPr="00CA72E5" w:rsidRDefault="00076A2D" w:rsidP="008E6881">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ECC/REC (05)07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Radiofrekvenču kanālu plānojums fiksētā dienesta sistēmām, kuras izmanto 71–76 GHz un 81–86 GHz joslu (</w:t>
            </w:r>
            <w:r w:rsidR="008E6881" w:rsidRPr="00CA72E5">
              <w:rPr>
                <w:rFonts w:ascii="Times New Roman" w:eastAsia="Times New Roman" w:hAnsi="Times New Roman" w:cs="Times New Roman"/>
                <w:sz w:val="24"/>
                <w:szCs w:val="24"/>
                <w:lang w:eastAsia="lv-LV"/>
              </w:rPr>
              <w:t>20</w:t>
            </w:r>
            <w:r w:rsidR="6DFECDB0" w:rsidRPr="00CA72E5">
              <w:rPr>
                <w:rFonts w:ascii="Times New Roman" w:eastAsia="Times New Roman" w:hAnsi="Times New Roman" w:cs="Times New Roman"/>
                <w:sz w:val="24"/>
                <w:szCs w:val="24"/>
                <w:lang w:eastAsia="lv-LV"/>
              </w:rPr>
              <w:t>24</w:t>
            </w:r>
            <w:r w:rsidR="004A6E54" w:rsidRPr="00CA72E5">
              <w:rPr>
                <w:rFonts w:ascii="Times New Roman" w:eastAsia="Times New Roman" w:hAnsi="Times New Roman" w:cs="Times New Roman"/>
                <w:sz w:val="24"/>
                <w:szCs w:val="24"/>
                <w:lang w:eastAsia="lv-LV"/>
              </w:rPr>
              <w:t xml:space="preserve">. gada </w:t>
            </w:r>
            <w:r w:rsidR="008E6881" w:rsidRPr="00CA72E5">
              <w:rPr>
                <w:rFonts w:ascii="Times New Roman" w:eastAsia="Times New Roman" w:hAnsi="Times New Roman" w:cs="Times New Roman"/>
                <w:sz w:val="24"/>
                <w:szCs w:val="24"/>
                <w:lang w:eastAsia="lv-LV"/>
              </w:rPr>
              <w:t>1</w:t>
            </w:r>
            <w:r w:rsidR="3C0C8F63" w:rsidRPr="00CA72E5">
              <w:rPr>
                <w:rFonts w:ascii="Times New Roman" w:eastAsia="Times New Roman" w:hAnsi="Times New Roman" w:cs="Times New Roman"/>
                <w:sz w:val="24"/>
                <w:szCs w:val="24"/>
                <w:lang w:eastAsia="lv-LV"/>
              </w:rPr>
              <w:t>0</w:t>
            </w:r>
            <w:r w:rsidR="004A6E54" w:rsidRPr="00CA72E5">
              <w:rPr>
                <w:rFonts w:ascii="Times New Roman" w:eastAsia="Times New Roman" w:hAnsi="Times New Roman" w:cs="Times New Roman"/>
                <w:sz w:val="24"/>
                <w:szCs w:val="24"/>
                <w:lang w:eastAsia="lv-LV"/>
              </w:rPr>
              <w:t>. </w:t>
            </w:r>
            <w:r w:rsidR="008E6881" w:rsidRPr="00CA72E5">
              <w:rPr>
                <w:rFonts w:ascii="Times New Roman" w:eastAsia="Times New Roman" w:hAnsi="Times New Roman" w:cs="Times New Roman"/>
                <w:sz w:val="24"/>
                <w:szCs w:val="24"/>
                <w:lang w:eastAsia="lv-LV"/>
              </w:rPr>
              <w:t xml:space="preserve">maija </w:t>
            </w:r>
            <w:r w:rsidRPr="00CA72E5">
              <w:rPr>
                <w:rFonts w:ascii="Times New Roman" w:eastAsia="Times New Roman" w:hAnsi="Times New Roman" w:cs="Times New Roman"/>
                <w:sz w:val="24"/>
                <w:szCs w:val="24"/>
                <w:lang w:eastAsia="lv-LV"/>
              </w:rPr>
              <w:t>redakcijā)</w:t>
            </w:r>
          </w:p>
        </w:tc>
      </w:tr>
      <w:tr w:rsidR="006E14AC" w:rsidRPr="00CA72E5" w14:paraId="721E09FB" w14:textId="77777777" w:rsidTr="021CAA16">
        <w:tc>
          <w:tcPr>
            <w:tcW w:w="846" w:type="dxa"/>
          </w:tcPr>
          <w:p w14:paraId="2E4DDF81"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3.26.</w:t>
            </w:r>
          </w:p>
        </w:tc>
        <w:tc>
          <w:tcPr>
            <w:tcW w:w="8215" w:type="dxa"/>
          </w:tcPr>
          <w:p w14:paraId="7C8414C7" w14:textId="5134DD5E"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ECC/REC/(05)08 – Frekvenču plānošana un frekvenču koordinēšana starp GSM sauszemes mobilajām sistēmām (GSM 900, GSM 1800 un GSM-R) (2021</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8</w:t>
            </w:r>
            <w:r w:rsidR="004A6E54" w:rsidRPr="00CA72E5">
              <w:rPr>
                <w:rFonts w:ascii="Times New Roman" w:eastAsia="Times New Roman" w:hAnsi="Times New Roman" w:cs="Times New Roman"/>
                <w:sz w:val="24"/>
                <w:szCs w:val="24"/>
                <w:lang w:eastAsia="lv-LV"/>
              </w:rPr>
              <w:t xml:space="preserve">. oktobra </w:t>
            </w:r>
            <w:r w:rsidRPr="00CA72E5">
              <w:rPr>
                <w:rFonts w:ascii="Times New Roman" w:eastAsia="Times New Roman" w:hAnsi="Times New Roman" w:cs="Times New Roman"/>
                <w:sz w:val="24"/>
                <w:szCs w:val="24"/>
                <w:lang w:eastAsia="lv-LV"/>
              </w:rPr>
              <w:t>redakcijā)</w:t>
            </w:r>
          </w:p>
        </w:tc>
      </w:tr>
      <w:tr w:rsidR="006E14AC" w:rsidRPr="00CA72E5" w14:paraId="6A3E7216" w14:textId="77777777" w:rsidTr="021CAA16">
        <w:tc>
          <w:tcPr>
            <w:tcW w:w="846" w:type="dxa"/>
          </w:tcPr>
          <w:p w14:paraId="0571CD69"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3.27.</w:t>
            </w:r>
          </w:p>
        </w:tc>
        <w:tc>
          <w:tcPr>
            <w:tcW w:w="8215" w:type="dxa"/>
          </w:tcPr>
          <w:p w14:paraId="79E1E5EB" w14:textId="1F2C6B73" w:rsidR="00CB699B" w:rsidRPr="00CA72E5" w:rsidRDefault="00E83839" w:rsidP="00965AEA">
            <w:pPr>
              <w:spacing w:after="0" w:line="240" w:lineRule="auto"/>
              <w:rPr>
                <w:rFonts w:ascii="Times New Roman" w:eastAsia="Times New Roman" w:hAnsi="Times New Roman"/>
                <w:sz w:val="24"/>
                <w:szCs w:val="24"/>
                <w:lang w:eastAsia="en-GB"/>
              </w:rPr>
            </w:pPr>
            <w:r w:rsidRPr="00CA72E5">
              <w:rPr>
                <w:rFonts w:ascii="Times New Roman" w:eastAsia="Times New Roman" w:hAnsi="Times New Roman" w:cs="Times New Roman"/>
                <w:sz w:val="24"/>
                <w:szCs w:val="24"/>
                <w:lang w:eastAsia="lv-LV"/>
              </w:rPr>
              <w:t xml:space="preserve">(Svītrots ar MK </w:t>
            </w:r>
            <w:r w:rsidRPr="00CA72E5">
              <w:rPr>
                <w:rFonts w:ascii="Times New Roman" w:eastAsia="Times New Roman" w:hAnsi="Times New Roman"/>
                <w:sz w:val="24"/>
                <w:szCs w:val="24"/>
                <w:lang w:eastAsia="en-GB"/>
              </w:rPr>
              <w:t>2023. gada 12. septembra noteikumiem Nr. 524)</w:t>
            </w:r>
          </w:p>
        </w:tc>
      </w:tr>
      <w:tr w:rsidR="006E14AC" w:rsidRPr="00CA72E5" w14:paraId="3FA9BC27" w14:textId="77777777" w:rsidTr="021CAA16">
        <w:tc>
          <w:tcPr>
            <w:tcW w:w="846" w:type="dxa"/>
          </w:tcPr>
          <w:p w14:paraId="78ABB0CC" w14:textId="4DD6B8AE"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w:t>
            </w:r>
            <w:r w:rsidR="00C65750" w:rsidRPr="00CA72E5">
              <w:rPr>
                <w:rFonts w:ascii="Times New Roman" w:eastAsia="Times New Roman" w:hAnsi="Times New Roman" w:cs="Times New Roman"/>
                <w:sz w:val="24"/>
                <w:szCs w:val="24"/>
                <w:lang w:eastAsia="lv-LV"/>
              </w:rPr>
              <w:t>28.</w:t>
            </w:r>
          </w:p>
        </w:tc>
        <w:tc>
          <w:tcPr>
            <w:tcW w:w="8215" w:type="dxa"/>
          </w:tcPr>
          <w:p w14:paraId="6DAA7725"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ECC/REC/(10)02 – Par Globālās navigācijas satelītu sistēmas (GNSS) atkārtotāju atļauju režīmu </w:t>
            </w:r>
          </w:p>
        </w:tc>
      </w:tr>
      <w:tr w:rsidR="006E14AC" w:rsidRPr="00CA72E5" w14:paraId="4E38927A" w14:textId="77777777" w:rsidTr="021CAA16">
        <w:tc>
          <w:tcPr>
            <w:tcW w:w="846" w:type="dxa"/>
          </w:tcPr>
          <w:p w14:paraId="6DA40BCB" w14:textId="7C4E6F21"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3.2</w:t>
            </w:r>
            <w:r w:rsidR="003835F2" w:rsidRPr="00CA72E5">
              <w:rPr>
                <w:rFonts w:ascii="Times New Roman" w:eastAsia="Times New Roman" w:hAnsi="Times New Roman" w:cs="Times New Roman"/>
                <w:sz w:val="24"/>
                <w:szCs w:val="24"/>
                <w:lang w:eastAsia="lv-LV"/>
              </w:rPr>
              <w:t>9.</w:t>
            </w:r>
          </w:p>
        </w:tc>
        <w:tc>
          <w:tcPr>
            <w:tcW w:w="8215" w:type="dxa"/>
          </w:tcPr>
          <w:p w14:paraId="49654C9A"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ECC/REC/(11)01 – vadlīnijas frekvenču bloku piešķiršanai fiksētajām bezvadu sistēmām 24,5–26,5 GHz, 27,5–29,5 GHz un 31,8–33,4 GHz frekvenču joslās</w:t>
            </w:r>
          </w:p>
        </w:tc>
      </w:tr>
      <w:tr w:rsidR="006E14AC" w:rsidRPr="00CA72E5" w14:paraId="042C4C20" w14:textId="77777777" w:rsidTr="021CAA16">
        <w:tc>
          <w:tcPr>
            <w:tcW w:w="846" w:type="dxa"/>
          </w:tcPr>
          <w:p w14:paraId="6B5826B0" w14:textId="23B18C50"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3.</w:t>
            </w:r>
            <w:r w:rsidR="003835F2" w:rsidRPr="00CA72E5">
              <w:rPr>
                <w:rFonts w:ascii="Times New Roman" w:eastAsia="Times New Roman" w:hAnsi="Times New Roman" w:cs="Times New Roman"/>
                <w:sz w:val="24"/>
                <w:szCs w:val="24"/>
                <w:lang w:eastAsia="lv-LV"/>
              </w:rPr>
              <w:t>30.</w:t>
            </w:r>
          </w:p>
        </w:tc>
        <w:tc>
          <w:tcPr>
            <w:tcW w:w="8215" w:type="dxa"/>
          </w:tcPr>
          <w:p w14:paraId="2FD11C02" w14:textId="4B49EBF4"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 xml:space="preserve">ERC 32. Ziņojums </w:t>
            </w:r>
            <w:r w:rsidR="000407C7"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 xml:space="preserve"> Iesācēju radioamatieru eksāmena programma un iesācēju radioamatieru eksāmena apliecība CEPT un ne-CEPT valstīs (2016</w:t>
            </w:r>
            <w:r w:rsidR="004A6E54" w:rsidRPr="00CA72E5">
              <w:rPr>
                <w:rFonts w:ascii="Times New Roman" w:eastAsia="Times New Roman" w:hAnsi="Times New Roman" w:cs="Times New Roman"/>
                <w:sz w:val="24"/>
                <w:szCs w:val="24"/>
                <w:lang w:eastAsia="lv-LV"/>
              </w:rPr>
              <w:t xml:space="preserve">. gada </w:t>
            </w:r>
            <w:r w:rsidRPr="00CA72E5">
              <w:rPr>
                <w:rFonts w:ascii="Times New Roman" w:eastAsia="Times New Roman" w:hAnsi="Times New Roman" w:cs="Times New Roman"/>
                <w:sz w:val="24"/>
                <w:szCs w:val="24"/>
                <w:lang w:eastAsia="lv-LV"/>
              </w:rPr>
              <w:t>7</w:t>
            </w:r>
            <w:r w:rsidR="004A6E54" w:rsidRPr="00CA72E5">
              <w:rPr>
                <w:rFonts w:ascii="Times New Roman" w:eastAsia="Times New Roman" w:hAnsi="Times New Roman" w:cs="Times New Roman"/>
                <w:sz w:val="24"/>
                <w:szCs w:val="24"/>
                <w:lang w:eastAsia="lv-LV"/>
              </w:rPr>
              <w:t xml:space="preserve">. oktobra </w:t>
            </w:r>
            <w:r w:rsidRPr="00CA72E5">
              <w:rPr>
                <w:rFonts w:ascii="Times New Roman" w:eastAsia="Times New Roman" w:hAnsi="Times New Roman" w:cs="Times New Roman"/>
                <w:sz w:val="24"/>
                <w:szCs w:val="24"/>
                <w:lang w:eastAsia="lv-LV"/>
              </w:rPr>
              <w:t>redakcijā)</w:t>
            </w:r>
          </w:p>
        </w:tc>
      </w:tr>
    </w:tbl>
    <w:p w14:paraId="391DDB20" w14:textId="77777777" w:rsidR="004E456F" w:rsidRPr="00CA72E5" w:rsidRDefault="008E0D70" w:rsidP="00965AEA">
      <w:pPr>
        <w:spacing w:before="100" w:beforeAutospacing="1" w:after="100" w:afterAutospacing="1" w:line="240" w:lineRule="auto"/>
        <w:rPr>
          <w:rFonts w:ascii="Times New Roman" w:hAnsi="Times New Roman" w:cs="Times New Roman"/>
          <w:b/>
          <w:bCs/>
          <w:sz w:val="24"/>
          <w:szCs w:val="24"/>
        </w:rPr>
      </w:pPr>
      <w:r w:rsidRPr="00CA72E5">
        <w:rPr>
          <w:rFonts w:ascii="Times New Roman" w:eastAsia="Times New Roman" w:hAnsi="Times New Roman" w:cs="Times New Roman"/>
          <w:b/>
          <w:bCs/>
          <w:sz w:val="24"/>
          <w:szCs w:val="24"/>
          <w:lang w:eastAsia="lv-LV"/>
        </w:rPr>
        <w:t xml:space="preserve">4. </w:t>
      </w:r>
      <w:r w:rsidR="004E456F" w:rsidRPr="00CA72E5">
        <w:rPr>
          <w:rFonts w:ascii="Times New Roman" w:eastAsia="Times New Roman" w:hAnsi="Times New Roman" w:cs="Times New Roman"/>
          <w:b/>
          <w:bCs/>
          <w:sz w:val="24"/>
          <w:szCs w:val="24"/>
          <w:lang w:eastAsia="lv-LV"/>
        </w:rPr>
        <w:t>ITU-R rekomendācija, ITU rezolūcija</w:t>
      </w:r>
    </w:p>
    <w:tbl>
      <w:tblPr>
        <w:tblStyle w:val="TableGrid"/>
        <w:tblW w:w="0" w:type="auto"/>
        <w:tblLook w:val="04A0" w:firstRow="1" w:lastRow="0" w:firstColumn="1" w:lastColumn="0" w:noHBand="0" w:noVBand="1"/>
      </w:tblPr>
      <w:tblGrid>
        <w:gridCol w:w="846"/>
        <w:gridCol w:w="8215"/>
      </w:tblGrid>
      <w:tr w:rsidR="006E14AC" w:rsidRPr="00CA72E5" w14:paraId="643A674A" w14:textId="77777777" w:rsidTr="00965AEA">
        <w:tc>
          <w:tcPr>
            <w:tcW w:w="846" w:type="dxa"/>
            <w:vAlign w:val="center"/>
          </w:tcPr>
          <w:p w14:paraId="496C2EFE" w14:textId="77777777" w:rsidR="00CB699B" w:rsidRPr="00CA72E5" w:rsidRDefault="008B75E5" w:rsidP="00965AEA">
            <w:pPr>
              <w:spacing w:after="120" w:line="315" w:lineRule="atLeast"/>
              <w:jc w:val="center"/>
              <w:rPr>
                <w:rFonts w:ascii="Times New Roman" w:eastAsia="Times New Roman" w:hAnsi="Times New Roman" w:cs="Times New Roman"/>
                <w:sz w:val="24"/>
                <w:szCs w:val="24"/>
                <w:lang w:eastAsia="lv-LV"/>
              </w:rPr>
            </w:pPr>
            <w:r w:rsidRPr="00CA72E5">
              <w:rPr>
                <w:rFonts w:ascii="Times New Roman" w:hAnsi="Times New Roman" w:cs="Times New Roman"/>
                <w:sz w:val="24"/>
                <w:szCs w:val="24"/>
              </w:rPr>
              <w:t>Nr. </w:t>
            </w:r>
            <w:r w:rsidRPr="00CA72E5">
              <w:rPr>
                <w:rFonts w:ascii="Times New Roman" w:hAnsi="Times New Roman" w:cs="Times New Roman"/>
                <w:sz w:val="24"/>
                <w:szCs w:val="24"/>
              </w:rPr>
              <w:br/>
              <w:t>p. k.</w:t>
            </w:r>
          </w:p>
        </w:tc>
        <w:tc>
          <w:tcPr>
            <w:tcW w:w="8215" w:type="dxa"/>
            <w:vAlign w:val="center"/>
          </w:tcPr>
          <w:p w14:paraId="5653B458" w14:textId="77777777" w:rsidR="00CB699B" w:rsidRPr="00CA72E5" w:rsidRDefault="008B75E5" w:rsidP="00965AEA">
            <w:pPr>
              <w:spacing w:after="120" w:line="315" w:lineRule="atLeast"/>
              <w:jc w:val="center"/>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Nosaukums</w:t>
            </w:r>
          </w:p>
        </w:tc>
      </w:tr>
      <w:tr w:rsidR="006E14AC" w:rsidRPr="00CA72E5" w14:paraId="07C8D702" w14:textId="77777777" w:rsidTr="00965AEA">
        <w:tc>
          <w:tcPr>
            <w:tcW w:w="846" w:type="dxa"/>
          </w:tcPr>
          <w:p w14:paraId="2F995B20"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4.1.</w:t>
            </w:r>
          </w:p>
        </w:tc>
        <w:tc>
          <w:tcPr>
            <w:tcW w:w="8215" w:type="dxa"/>
          </w:tcPr>
          <w:p w14:paraId="29499AEA" w14:textId="00638462"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ITU-R F.636-5 Radiofrekvenču kanālu plānojums fiksētām bezvadu sistēmām, kas darbojas 14,4</w:t>
            </w:r>
            <w:r w:rsidR="00582F1F"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15,35 GHz joslā</w:t>
            </w:r>
            <w:r w:rsidR="0047343C" w:rsidRPr="00CA72E5">
              <w:rPr>
                <w:rFonts w:ascii="Times New Roman" w:eastAsia="Times New Roman" w:hAnsi="Times New Roman" w:cs="Times New Roman"/>
                <w:sz w:val="24"/>
                <w:szCs w:val="24"/>
                <w:lang w:eastAsia="lv-LV"/>
              </w:rPr>
              <w:t xml:space="preserve"> (</w:t>
            </w:r>
            <w:r w:rsidR="00721557" w:rsidRPr="00CA72E5">
              <w:rPr>
                <w:rFonts w:ascii="Times New Roman" w:eastAsia="Times New Roman" w:hAnsi="Times New Roman" w:cs="Times New Roman"/>
                <w:sz w:val="24"/>
                <w:szCs w:val="24"/>
                <w:lang w:eastAsia="lv-LV"/>
              </w:rPr>
              <w:t>2019</w:t>
            </w:r>
            <w:r w:rsidR="004A6E54" w:rsidRPr="00CA72E5">
              <w:rPr>
                <w:rFonts w:ascii="Times New Roman" w:eastAsia="Times New Roman" w:hAnsi="Times New Roman" w:cs="Times New Roman"/>
                <w:sz w:val="24"/>
                <w:szCs w:val="24"/>
                <w:lang w:eastAsia="lv-LV"/>
              </w:rPr>
              <w:t xml:space="preserve">. gada </w:t>
            </w:r>
            <w:r w:rsidR="00721557" w:rsidRPr="00CA72E5">
              <w:rPr>
                <w:rFonts w:ascii="Times New Roman" w:eastAsia="Times New Roman" w:hAnsi="Times New Roman" w:cs="Times New Roman"/>
                <w:sz w:val="24"/>
                <w:szCs w:val="24"/>
                <w:lang w:eastAsia="lv-LV"/>
              </w:rPr>
              <w:t>1</w:t>
            </w:r>
            <w:r w:rsidR="00541FA3" w:rsidRPr="00CA72E5">
              <w:rPr>
                <w:rFonts w:ascii="Times New Roman" w:eastAsia="Times New Roman" w:hAnsi="Times New Roman" w:cs="Times New Roman"/>
                <w:sz w:val="24"/>
                <w:szCs w:val="24"/>
                <w:lang w:eastAsia="lv-LV"/>
              </w:rPr>
              <w:t>8</w:t>
            </w:r>
            <w:r w:rsidR="00721557" w:rsidRPr="00CA72E5">
              <w:rPr>
                <w:rFonts w:ascii="Times New Roman" w:eastAsia="Times New Roman" w:hAnsi="Times New Roman" w:cs="Times New Roman"/>
                <w:sz w:val="24"/>
                <w:szCs w:val="24"/>
                <w:lang w:eastAsia="lv-LV"/>
              </w:rPr>
              <w:t>.</w:t>
            </w:r>
            <w:r w:rsidR="00B85C8C" w:rsidRPr="00CA72E5">
              <w:rPr>
                <w:rFonts w:ascii="Times New Roman" w:eastAsia="Times New Roman" w:hAnsi="Times New Roman" w:cs="Times New Roman"/>
                <w:sz w:val="24"/>
                <w:szCs w:val="24"/>
                <w:lang w:eastAsia="lv-LV"/>
              </w:rPr>
              <w:t> </w:t>
            </w:r>
            <w:r w:rsidR="00541FA3" w:rsidRPr="00CA72E5">
              <w:rPr>
                <w:rFonts w:ascii="Times New Roman" w:eastAsia="Times New Roman" w:hAnsi="Times New Roman" w:cs="Times New Roman"/>
                <w:sz w:val="24"/>
                <w:szCs w:val="24"/>
                <w:lang w:eastAsia="lv-LV"/>
              </w:rPr>
              <w:t>novembris</w:t>
            </w:r>
            <w:r w:rsidR="00721557" w:rsidRPr="00CA72E5">
              <w:rPr>
                <w:rFonts w:ascii="Times New Roman" w:eastAsia="Times New Roman" w:hAnsi="Times New Roman" w:cs="Times New Roman"/>
                <w:sz w:val="24"/>
                <w:szCs w:val="24"/>
                <w:lang w:eastAsia="lv-LV"/>
              </w:rPr>
              <w:t>)</w:t>
            </w:r>
          </w:p>
        </w:tc>
      </w:tr>
      <w:tr w:rsidR="006E14AC" w:rsidRPr="00CA72E5" w14:paraId="1B3DA406" w14:textId="77777777" w:rsidTr="00965AEA">
        <w:tc>
          <w:tcPr>
            <w:tcW w:w="846" w:type="dxa"/>
          </w:tcPr>
          <w:p w14:paraId="3EED0C97"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4.2.</w:t>
            </w:r>
          </w:p>
        </w:tc>
        <w:tc>
          <w:tcPr>
            <w:tcW w:w="8215" w:type="dxa"/>
          </w:tcPr>
          <w:p w14:paraId="2708E4C8" w14:textId="48A73C4A"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ITU-R F.637-4 Radiofrekvenču kanālu plānojums fiksētām bezvadu sistēmām, kas darbojas 21,2</w:t>
            </w:r>
            <w:r w:rsidR="00582F1F"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23,6 GHz joslā</w:t>
            </w:r>
            <w:r w:rsidR="00A42B1E" w:rsidRPr="00CA72E5">
              <w:rPr>
                <w:rFonts w:ascii="Times New Roman" w:eastAsia="Times New Roman" w:hAnsi="Times New Roman" w:cs="Times New Roman"/>
                <w:sz w:val="24"/>
                <w:szCs w:val="24"/>
                <w:lang w:eastAsia="lv-LV"/>
              </w:rPr>
              <w:t xml:space="preserve"> (</w:t>
            </w:r>
            <w:r w:rsidR="0047343C" w:rsidRPr="00CA72E5">
              <w:rPr>
                <w:rFonts w:ascii="Times New Roman" w:eastAsia="Times New Roman" w:hAnsi="Times New Roman" w:cs="Times New Roman"/>
                <w:sz w:val="24"/>
                <w:szCs w:val="24"/>
                <w:lang w:eastAsia="lv-LV"/>
              </w:rPr>
              <w:t>2012</w:t>
            </w:r>
            <w:r w:rsidR="004A6E54" w:rsidRPr="00CA72E5">
              <w:rPr>
                <w:rFonts w:ascii="Times New Roman" w:eastAsia="Times New Roman" w:hAnsi="Times New Roman" w:cs="Times New Roman"/>
                <w:sz w:val="24"/>
                <w:szCs w:val="24"/>
                <w:lang w:eastAsia="lv-LV"/>
              </w:rPr>
              <w:t xml:space="preserve">. gada </w:t>
            </w:r>
            <w:r w:rsidR="0047343C" w:rsidRPr="00CA72E5">
              <w:rPr>
                <w:rFonts w:ascii="Times New Roman" w:eastAsia="Times New Roman" w:hAnsi="Times New Roman" w:cs="Times New Roman"/>
                <w:sz w:val="24"/>
                <w:szCs w:val="24"/>
                <w:lang w:eastAsia="lv-LV"/>
              </w:rPr>
              <w:t>15.</w:t>
            </w:r>
            <w:r w:rsidR="00B85C8C" w:rsidRPr="00CA72E5">
              <w:rPr>
                <w:rFonts w:ascii="Times New Roman" w:eastAsia="Times New Roman" w:hAnsi="Times New Roman" w:cs="Times New Roman"/>
                <w:sz w:val="24"/>
                <w:szCs w:val="24"/>
                <w:lang w:eastAsia="lv-LV"/>
              </w:rPr>
              <w:t> </w:t>
            </w:r>
            <w:r w:rsidR="0047343C" w:rsidRPr="00CA72E5">
              <w:rPr>
                <w:rFonts w:ascii="Times New Roman" w:eastAsia="Times New Roman" w:hAnsi="Times New Roman" w:cs="Times New Roman"/>
                <w:sz w:val="24"/>
                <w:szCs w:val="24"/>
                <w:lang w:eastAsia="lv-LV"/>
              </w:rPr>
              <w:t>marts)</w:t>
            </w:r>
          </w:p>
        </w:tc>
      </w:tr>
      <w:tr w:rsidR="006E14AC" w:rsidRPr="00CA72E5" w14:paraId="4A4B5D64" w14:textId="77777777" w:rsidTr="00965AEA">
        <w:tc>
          <w:tcPr>
            <w:tcW w:w="846" w:type="dxa"/>
          </w:tcPr>
          <w:p w14:paraId="26CA4C14"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4.3.</w:t>
            </w:r>
          </w:p>
        </w:tc>
        <w:tc>
          <w:tcPr>
            <w:tcW w:w="8215" w:type="dxa"/>
          </w:tcPr>
          <w:p w14:paraId="39D56333" w14:textId="52C0CAB8"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ITU-R M.1036-6 Frekvenču plānojums starptautisko mobilo sakaru (IMT) zemes komponentes ieviešanai ITU Radionoteikumos IMT noteiktajās joslās</w:t>
            </w:r>
            <w:r w:rsidR="00890F03" w:rsidRPr="00CA72E5">
              <w:rPr>
                <w:rFonts w:ascii="Times New Roman" w:eastAsia="Times New Roman" w:hAnsi="Times New Roman" w:cs="Times New Roman"/>
                <w:sz w:val="24"/>
                <w:szCs w:val="24"/>
                <w:lang w:eastAsia="lv-LV"/>
              </w:rPr>
              <w:t xml:space="preserve"> (2019</w:t>
            </w:r>
            <w:r w:rsidR="004A6E54" w:rsidRPr="00CA72E5">
              <w:rPr>
                <w:rFonts w:ascii="Times New Roman" w:eastAsia="Times New Roman" w:hAnsi="Times New Roman" w:cs="Times New Roman"/>
                <w:sz w:val="24"/>
                <w:szCs w:val="24"/>
                <w:lang w:eastAsia="lv-LV"/>
              </w:rPr>
              <w:t xml:space="preserve">. gada </w:t>
            </w:r>
            <w:r w:rsidR="00A17C6D" w:rsidRPr="00CA72E5">
              <w:rPr>
                <w:rFonts w:ascii="Times New Roman" w:eastAsia="Times New Roman" w:hAnsi="Times New Roman" w:cs="Times New Roman"/>
                <w:sz w:val="24"/>
                <w:szCs w:val="24"/>
                <w:lang w:eastAsia="lv-LV"/>
              </w:rPr>
              <w:t>24.</w:t>
            </w:r>
            <w:r w:rsidR="00B85C8C" w:rsidRPr="00CA72E5">
              <w:rPr>
                <w:rFonts w:ascii="Times New Roman" w:eastAsia="Times New Roman" w:hAnsi="Times New Roman" w:cs="Times New Roman"/>
                <w:sz w:val="24"/>
                <w:szCs w:val="24"/>
                <w:lang w:eastAsia="lv-LV"/>
              </w:rPr>
              <w:t> </w:t>
            </w:r>
            <w:r w:rsidR="00A42B1E" w:rsidRPr="00CA72E5">
              <w:rPr>
                <w:rFonts w:ascii="Times New Roman" w:eastAsia="Times New Roman" w:hAnsi="Times New Roman" w:cs="Times New Roman"/>
                <w:sz w:val="24"/>
                <w:szCs w:val="24"/>
                <w:lang w:eastAsia="lv-LV"/>
              </w:rPr>
              <w:t>oktobris)</w:t>
            </w:r>
          </w:p>
        </w:tc>
      </w:tr>
      <w:tr w:rsidR="006E14AC" w:rsidRPr="00CA72E5" w14:paraId="426DB58D" w14:textId="77777777" w:rsidTr="00965AEA">
        <w:tc>
          <w:tcPr>
            <w:tcW w:w="846" w:type="dxa"/>
          </w:tcPr>
          <w:p w14:paraId="484A9234"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4.4.</w:t>
            </w:r>
          </w:p>
        </w:tc>
        <w:tc>
          <w:tcPr>
            <w:tcW w:w="8215" w:type="dxa"/>
          </w:tcPr>
          <w:p w14:paraId="6FD7BCAA" w14:textId="492DD4C0"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ITU-R M.1174-4 Tehniskie parametri radioiekārtām, ko izmanto sakariem uz kuģa frekvenču joslās no 450 MHz līdz 470 MHz</w:t>
            </w:r>
            <w:r w:rsidR="00FE2CE0" w:rsidRPr="00CA72E5">
              <w:rPr>
                <w:rFonts w:ascii="Times New Roman" w:eastAsia="Times New Roman" w:hAnsi="Times New Roman" w:cs="Times New Roman"/>
                <w:sz w:val="24"/>
                <w:szCs w:val="24"/>
                <w:lang w:eastAsia="lv-LV"/>
              </w:rPr>
              <w:t xml:space="preserve"> </w:t>
            </w:r>
            <w:r w:rsidR="00430BD7" w:rsidRPr="00CA72E5">
              <w:rPr>
                <w:rFonts w:ascii="Times New Roman" w:eastAsia="Times New Roman" w:hAnsi="Times New Roman" w:cs="Times New Roman"/>
                <w:sz w:val="24"/>
                <w:szCs w:val="24"/>
                <w:lang w:eastAsia="lv-LV"/>
              </w:rPr>
              <w:t>(2019</w:t>
            </w:r>
            <w:r w:rsidR="004A6E54" w:rsidRPr="00CA72E5">
              <w:rPr>
                <w:rFonts w:ascii="Times New Roman" w:eastAsia="Times New Roman" w:hAnsi="Times New Roman" w:cs="Times New Roman"/>
                <w:sz w:val="24"/>
                <w:szCs w:val="24"/>
                <w:lang w:eastAsia="lv-LV"/>
              </w:rPr>
              <w:t xml:space="preserve">. gada </w:t>
            </w:r>
            <w:r w:rsidR="00A42EC5" w:rsidRPr="00CA72E5">
              <w:rPr>
                <w:rFonts w:ascii="Times New Roman" w:eastAsia="Times New Roman" w:hAnsi="Times New Roman" w:cs="Times New Roman"/>
                <w:sz w:val="24"/>
                <w:szCs w:val="24"/>
                <w:lang w:eastAsia="lv-LV"/>
              </w:rPr>
              <w:t>24.</w:t>
            </w:r>
            <w:r w:rsidR="00B85C8C" w:rsidRPr="00CA72E5">
              <w:rPr>
                <w:rFonts w:ascii="Times New Roman" w:eastAsia="Times New Roman" w:hAnsi="Times New Roman" w:cs="Times New Roman"/>
                <w:sz w:val="24"/>
                <w:szCs w:val="24"/>
                <w:lang w:eastAsia="lv-LV"/>
              </w:rPr>
              <w:t> </w:t>
            </w:r>
            <w:r w:rsidR="00430BD7" w:rsidRPr="00CA72E5">
              <w:rPr>
                <w:rFonts w:ascii="Times New Roman" w:eastAsia="Times New Roman" w:hAnsi="Times New Roman" w:cs="Times New Roman"/>
                <w:sz w:val="24"/>
                <w:szCs w:val="24"/>
                <w:lang w:eastAsia="lv-LV"/>
              </w:rPr>
              <w:t>oktobris)</w:t>
            </w:r>
          </w:p>
        </w:tc>
      </w:tr>
      <w:tr w:rsidR="006E14AC" w:rsidRPr="00CA72E5" w14:paraId="4473AD00" w14:textId="77777777" w:rsidTr="00965AEA">
        <w:tc>
          <w:tcPr>
            <w:tcW w:w="846" w:type="dxa"/>
          </w:tcPr>
          <w:p w14:paraId="05DABC5E" w14:textId="77777777"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lastRenderedPageBreak/>
              <w:t>4.5.</w:t>
            </w:r>
          </w:p>
        </w:tc>
        <w:tc>
          <w:tcPr>
            <w:tcW w:w="8215" w:type="dxa"/>
          </w:tcPr>
          <w:p w14:paraId="337902F8" w14:textId="7B2C5932" w:rsidR="00CB699B" w:rsidRPr="00CA72E5" w:rsidRDefault="00076A2D">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ITU-R SA.2045-0 Pamatnosacījumi 401</w:t>
            </w:r>
            <w:r w:rsidR="00582F1F" w:rsidRPr="00CA72E5">
              <w:rPr>
                <w:rFonts w:ascii="Times New Roman" w:eastAsia="Times New Roman" w:hAnsi="Times New Roman" w:cs="Times New Roman"/>
                <w:sz w:val="24"/>
                <w:szCs w:val="24"/>
                <w:lang w:eastAsia="lv-LV"/>
              </w:rPr>
              <w:t>–</w:t>
            </w:r>
            <w:r w:rsidRPr="00CA72E5">
              <w:rPr>
                <w:rFonts w:ascii="Times New Roman" w:eastAsia="Times New Roman" w:hAnsi="Times New Roman" w:cs="Times New Roman"/>
                <w:sz w:val="24"/>
                <w:szCs w:val="24"/>
                <w:lang w:eastAsia="lv-LV"/>
              </w:rPr>
              <w:t>403 MHz radiofrekvenču joslas sadalīšanai un koplietošanai nākotnes ilgtermiņa saskaņotai izmantošanai datu savākšanas sistēmām ģeostacionārajās un neģeostacionārajās MetSat un Zemes izpētes satelītu sistēmās</w:t>
            </w:r>
            <w:r w:rsidR="00FE2CE0" w:rsidRPr="00CA72E5">
              <w:rPr>
                <w:rFonts w:ascii="Times New Roman" w:eastAsia="Times New Roman" w:hAnsi="Times New Roman" w:cs="Times New Roman"/>
                <w:sz w:val="24"/>
                <w:szCs w:val="24"/>
                <w:lang w:eastAsia="lv-LV"/>
              </w:rPr>
              <w:t xml:space="preserve"> (2013</w:t>
            </w:r>
            <w:r w:rsidR="004A6E54" w:rsidRPr="00CA72E5">
              <w:rPr>
                <w:rFonts w:ascii="Times New Roman" w:eastAsia="Times New Roman" w:hAnsi="Times New Roman" w:cs="Times New Roman"/>
                <w:sz w:val="24"/>
                <w:szCs w:val="24"/>
                <w:lang w:eastAsia="lv-LV"/>
              </w:rPr>
              <w:t xml:space="preserve">. gada </w:t>
            </w:r>
            <w:r w:rsidR="00C4646E" w:rsidRPr="00CA72E5">
              <w:rPr>
                <w:rFonts w:ascii="Times New Roman" w:eastAsia="Times New Roman" w:hAnsi="Times New Roman" w:cs="Times New Roman"/>
                <w:sz w:val="24"/>
                <w:szCs w:val="24"/>
                <w:lang w:eastAsia="lv-LV"/>
              </w:rPr>
              <w:t>10</w:t>
            </w:r>
            <w:r w:rsidR="004A6E54" w:rsidRPr="00CA72E5">
              <w:rPr>
                <w:rFonts w:ascii="Times New Roman" w:eastAsia="Times New Roman" w:hAnsi="Times New Roman" w:cs="Times New Roman"/>
                <w:sz w:val="24"/>
                <w:szCs w:val="24"/>
                <w:lang w:eastAsia="lv-LV"/>
              </w:rPr>
              <w:t>. decembris</w:t>
            </w:r>
            <w:r w:rsidR="00FE2CE0" w:rsidRPr="00CA72E5">
              <w:rPr>
                <w:rFonts w:ascii="Times New Roman" w:eastAsia="Times New Roman" w:hAnsi="Times New Roman" w:cs="Times New Roman"/>
                <w:sz w:val="24"/>
                <w:szCs w:val="24"/>
                <w:lang w:eastAsia="lv-LV"/>
              </w:rPr>
              <w:t>)</w:t>
            </w:r>
          </w:p>
        </w:tc>
      </w:tr>
      <w:tr w:rsidR="008129E1" w:rsidRPr="00CA72E5" w14:paraId="739A6A4F" w14:textId="77777777" w:rsidTr="00965AEA">
        <w:tc>
          <w:tcPr>
            <w:tcW w:w="846" w:type="dxa"/>
          </w:tcPr>
          <w:p w14:paraId="2525DE80" w14:textId="65735FB5" w:rsidR="008129E1" w:rsidRPr="00CA72E5" w:rsidRDefault="00BC3CAC">
            <w:pPr>
              <w:spacing w:after="120" w:line="240" w:lineRule="auto"/>
              <w:rPr>
                <w:rFonts w:ascii="Times New Roman" w:eastAsia="Times New Roman" w:hAnsi="Times New Roman" w:cs="Times New Roman"/>
                <w:sz w:val="24"/>
                <w:szCs w:val="24"/>
                <w:lang w:eastAsia="lv-LV"/>
              </w:rPr>
            </w:pPr>
            <w:r w:rsidRPr="00CA72E5">
              <w:rPr>
                <w:rFonts w:ascii="Times New Roman" w:eastAsia="Times New Roman" w:hAnsi="Times New Roman" w:cs="Times New Roman"/>
                <w:sz w:val="24"/>
                <w:szCs w:val="24"/>
                <w:lang w:eastAsia="lv-LV"/>
              </w:rPr>
              <w:t>4.6.</w:t>
            </w:r>
          </w:p>
        </w:tc>
        <w:tc>
          <w:tcPr>
            <w:tcW w:w="8215" w:type="dxa"/>
          </w:tcPr>
          <w:p w14:paraId="38D58D4C" w14:textId="4C102F10" w:rsidR="000B32E4" w:rsidRPr="00CA72E5" w:rsidRDefault="006E2F28" w:rsidP="00F0190D">
            <w:pPr>
              <w:spacing w:after="120" w:line="240" w:lineRule="auto"/>
              <w:rPr>
                <w:rFonts w:ascii="Times New Roman" w:eastAsia="Times New Roman" w:hAnsi="Times New Roman" w:cs="Times New Roman"/>
                <w:sz w:val="24"/>
                <w:szCs w:val="24"/>
                <w:lang w:eastAsia="lv-LV"/>
              </w:rPr>
            </w:pPr>
            <w:r w:rsidRPr="00CA72E5">
              <w:rPr>
                <w:rFonts w:ascii="Times New Roman" w:hAnsi="Times New Roman" w:cs="Times New Roman"/>
                <w:sz w:val="24"/>
                <w:szCs w:val="24"/>
              </w:rPr>
              <w:t>ITU-R F.</w:t>
            </w:r>
            <w:r w:rsidR="001A6A63" w:rsidRPr="00CA72E5">
              <w:rPr>
                <w:rFonts w:ascii="Times New Roman" w:hAnsi="Times New Roman" w:cs="Times New Roman"/>
                <w:sz w:val="24"/>
                <w:szCs w:val="24"/>
              </w:rPr>
              <w:t>1</w:t>
            </w:r>
            <w:r w:rsidR="002F01EE" w:rsidRPr="00CA72E5">
              <w:rPr>
                <w:rFonts w:ascii="Times New Roman" w:hAnsi="Times New Roman" w:cs="Times New Roman"/>
                <w:sz w:val="24"/>
                <w:szCs w:val="24"/>
              </w:rPr>
              <w:t>4</w:t>
            </w:r>
            <w:r w:rsidR="00C9788E" w:rsidRPr="00CA72E5">
              <w:rPr>
                <w:rFonts w:ascii="Times New Roman" w:hAnsi="Times New Roman" w:cs="Times New Roman"/>
                <w:sz w:val="24"/>
                <w:szCs w:val="24"/>
              </w:rPr>
              <w:t>97</w:t>
            </w:r>
            <w:r w:rsidRPr="00CA72E5">
              <w:rPr>
                <w:rFonts w:ascii="Times New Roman" w:hAnsi="Times New Roman" w:cs="Times New Roman"/>
                <w:sz w:val="24"/>
                <w:szCs w:val="24"/>
              </w:rPr>
              <w:t>-</w:t>
            </w:r>
            <w:r w:rsidR="002F01EE" w:rsidRPr="00CA72E5">
              <w:rPr>
                <w:rFonts w:ascii="Times New Roman" w:hAnsi="Times New Roman" w:cs="Times New Roman"/>
                <w:sz w:val="24"/>
                <w:szCs w:val="24"/>
              </w:rPr>
              <w:t>2</w:t>
            </w:r>
            <w:r w:rsidRPr="00CA72E5">
              <w:rPr>
                <w:rFonts w:ascii="Times New Roman" w:hAnsi="Times New Roman" w:cs="Times New Roman"/>
                <w:sz w:val="24"/>
                <w:szCs w:val="24"/>
              </w:rPr>
              <w:t xml:space="preserve"> Radiofrekvenču kanālu plānojums fiksētām bezvadu sistēmām, kas darbojas 55</w:t>
            </w:r>
            <w:r w:rsidR="00582F1F" w:rsidRPr="00CA72E5">
              <w:rPr>
                <w:rFonts w:ascii="Times New Roman" w:hAnsi="Times New Roman" w:cs="Times New Roman"/>
                <w:sz w:val="24"/>
                <w:szCs w:val="24"/>
              </w:rPr>
              <w:t>,</w:t>
            </w:r>
            <w:r w:rsidRPr="00CA72E5">
              <w:rPr>
                <w:rFonts w:ascii="Times New Roman" w:hAnsi="Times New Roman" w:cs="Times New Roman"/>
                <w:sz w:val="24"/>
                <w:szCs w:val="24"/>
              </w:rPr>
              <w:t>78</w:t>
            </w:r>
            <w:r w:rsidR="00582F1F" w:rsidRPr="00CA72E5">
              <w:rPr>
                <w:rFonts w:ascii="Times New Roman" w:eastAsia="Times New Roman" w:hAnsi="Times New Roman" w:cs="Times New Roman"/>
                <w:sz w:val="24"/>
                <w:szCs w:val="24"/>
                <w:lang w:eastAsia="lv-LV"/>
              </w:rPr>
              <w:t>–</w:t>
            </w:r>
            <w:r w:rsidRPr="00CA72E5">
              <w:rPr>
                <w:rFonts w:ascii="Times New Roman" w:hAnsi="Times New Roman" w:cs="Times New Roman"/>
                <w:sz w:val="24"/>
                <w:szCs w:val="24"/>
              </w:rPr>
              <w:t>66 GHz joslā</w:t>
            </w:r>
            <w:r w:rsidR="00251324" w:rsidRPr="00CA72E5">
              <w:rPr>
                <w:rFonts w:ascii="Times New Roman" w:hAnsi="Times New Roman" w:cs="Times New Roman"/>
                <w:sz w:val="24"/>
                <w:szCs w:val="24"/>
              </w:rPr>
              <w:t xml:space="preserve"> </w:t>
            </w:r>
            <w:r w:rsidR="007B76F5" w:rsidRPr="00CA72E5">
              <w:rPr>
                <w:rFonts w:ascii="Times New Roman" w:hAnsi="Times New Roman" w:cs="Times New Roman"/>
                <w:sz w:val="24"/>
                <w:szCs w:val="24"/>
              </w:rPr>
              <w:t>(</w:t>
            </w:r>
            <w:r w:rsidR="00251324" w:rsidRPr="00CA72E5">
              <w:rPr>
                <w:rFonts w:ascii="Times New Roman" w:hAnsi="Times New Roman" w:cs="Times New Roman"/>
                <w:sz w:val="24"/>
                <w:szCs w:val="24"/>
              </w:rPr>
              <w:t>2014</w:t>
            </w:r>
            <w:r w:rsidR="004A6E54" w:rsidRPr="00CA72E5">
              <w:rPr>
                <w:rFonts w:ascii="Times New Roman" w:hAnsi="Times New Roman" w:cs="Times New Roman"/>
                <w:sz w:val="24"/>
                <w:szCs w:val="24"/>
              </w:rPr>
              <w:t xml:space="preserve">. gada </w:t>
            </w:r>
            <w:r w:rsidR="003F4D24" w:rsidRPr="00CA72E5">
              <w:rPr>
                <w:rFonts w:ascii="Times New Roman" w:hAnsi="Times New Roman" w:cs="Times New Roman"/>
                <w:sz w:val="24"/>
                <w:szCs w:val="24"/>
              </w:rPr>
              <w:t>18</w:t>
            </w:r>
            <w:r w:rsidR="004A6E54" w:rsidRPr="00CA72E5">
              <w:rPr>
                <w:rFonts w:ascii="Times New Roman" w:hAnsi="Times New Roman" w:cs="Times New Roman"/>
                <w:sz w:val="24"/>
                <w:szCs w:val="24"/>
              </w:rPr>
              <w:t>. februāris</w:t>
            </w:r>
            <w:r w:rsidR="007B76F5" w:rsidRPr="00CA72E5">
              <w:rPr>
                <w:rFonts w:ascii="Times New Roman" w:hAnsi="Times New Roman" w:cs="Times New Roman"/>
                <w:sz w:val="24"/>
                <w:szCs w:val="24"/>
              </w:rPr>
              <w:t>)</w:t>
            </w:r>
          </w:p>
        </w:tc>
      </w:tr>
    </w:tbl>
    <w:p w14:paraId="46382204" w14:textId="433E3230" w:rsidR="00645DF4" w:rsidRPr="00CA72E5" w:rsidRDefault="00F5645F" w:rsidP="00C87B7A">
      <w:pPr>
        <w:rPr>
          <w:rFonts w:ascii="Times New Roman" w:hAnsi="Times New Roman" w:cs="Times New Roman"/>
          <w:sz w:val="24"/>
          <w:szCs w:val="24"/>
        </w:rPr>
      </w:pPr>
      <w:r w:rsidRPr="00CA72E5">
        <w:rPr>
          <w:rFonts w:ascii="Times New Roman" w:eastAsia="Times New Roman" w:hAnsi="Times New Roman"/>
          <w:sz w:val="28"/>
          <w:lang w:eastAsia="en-GB"/>
        </w:rPr>
        <w:t>"</w:t>
      </w:r>
    </w:p>
    <w:sectPr w:rsidR="00645DF4" w:rsidRPr="00CA72E5" w:rsidSect="009A5424">
      <w:headerReference w:type="default" r:id="rId44"/>
      <w:footerReference w:type="default" r:id="rId45"/>
      <w:footerReference w:type="first" r:id="rId46"/>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79DFB" w14:textId="77777777" w:rsidR="00687272" w:rsidRDefault="00687272">
      <w:pPr>
        <w:spacing w:after="0" w:line="240" w:lineRule="auto"/>
      </w:pPr>
      <w:r>
        <w:separator/>
      </w:r>
    </w:p>
  </w:endnote>
  <w:endnote w:type="continuationSeparator" w:id="0">
    <w:p w14:paraId="7F002B9F" w14:textId="77777777" w:rsidR="00687272" w:rsidRDefault="00687272">
      <w:pPr>
        <w:spacing w:after="0" w:line="240" w:lineRule="auto"/>
      </w:pPr>
      <w:r>
        <w:continuationSeparator/>
      </w:r>
    </w:p>
  </w:endnote>
  <w:endnote w:type="continuationNotice" w:id="1">
    <w:p w14:paraId="5991AD3D" w14:textId="77777777" w:rsidR="00687272" w:rsidRDefault="006872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UAlbertina">
    <w:altName w:val="Arial"/>
    <w:panose1 w:val="00000000000000000000"/>
    <w:charset w:val="00"/>
    <w:family w:val="swiss"/>
    <w:notTrueType/>
    <w:pitch w:val="default"/>
    <w:sig w:usb0="00000005" w:usb1="00000000" w:usb2="00000000" w:usb3="00000000" w:csb0="00000003"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BBC1" w14:textId="77777777" w:rsidR="008C39F6" w:rsidRDefault="008C39F6" w:rsidP="008C39F6">
    <w:pPr>
      <w:pStyle w:val="Footer"/>
      <w:rPr>
        <w:rFonts w:ascii="Times New Roman" w:hAnsi="Times New Roman" w:cs="Times New Roman"/>
        <w:sz w:val="16"/>
        <w:szCs w:val="16"/>
      </w:rPr>
    </w:pPr>
  </w:p>
  <w:p w14:paraId="643AE901" w14:textId="77777777" w:rsidR="00FD3910" w:rsidRPr="00FD3910" w:rsidRDefault="00FD3910" w:rsidP="00FD3910">
    <w:pPr>
      <w:pStyle w:val="Footer"/>
      <w:rPr>
        <w:rFonts w:ascii="Times New Roman" w:hAnsi="Times New Roman" w:cs="Times New Roman"/>
        <w:sz w:val="16"/>
        <w:szCs w:val="16"/>
      </w:rPr>
    </w:pPr>
    <w:r w:rsidRPr="00FD3910">
      <w:rPr>
        <w:rFonts w:ascii="Times New Roman" w:hAnsi="Times New Roman" w:cs="Times New Roman"/>
        <w:sz w:val="16"/>
        <w:szCs w:val="16"/>
      </w:rPr>
      <w:t>N0379_5p4</w:t>
    </w:r>
  </w:p>
  <w:p w14:paraId="218E32CA" w14:textId="6C4409A5" w:rsidR="00211FA4" w:rsidRPr="008C39F6" w:rsidRDefault="00211FA4" w:rsidP="008C39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DBF1A" w14:textId="4A07FB9C" w:rsidR="00211FA4" w:rsidRPr="00FD3910" w:rsidRDefault="00FD3910">
    <w:pPr>
      <w:pStyle w:val="Footer"/>
      <w:rPr>
        <w:rFonts w:ascii="Times New Roman" w:hAnsi="Times New Roman" w:cs="Times New Roman"/>
        <w:sz w:val="16"/>
        <w:szCs w:val="16"/>
      </w:rPr>
    </w:pPr>
    <w:r w:rsidRPr="00FD3910">
      <w:rPr>
        <w:rFonts w:ascii="Times New Roman" w:hAnsi="Times New Roman" w:cs="Times New Roman"/>
        <w:sz w:val="16"/>
        <w:szCs w:val="16"/>
      </w:rPr>
      <w:t>N0379_5p4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61A0F" w14:textId="77777777" w:rsidR="00687272" w:rsidRDefault="00687272">
      <w:pPr>
        <w:spacing w:after="0" w:line="240" w:lineRule="auto"/>
      </w:pPr>
      <w:r>
        <w:separator/>
      </w:r>
    </w:p>
  </w:footnote>
  <w:footnote w:type="continuationSeparator" w:id="0">
    <w:p w14:paraId="34387A2E" w14:textId="77777777" w:rsidR="00687272" w:rsidRDefault="00687272">
      <w:pPr>
        <w:spacing w:after="0" w:line="240" w:lineRule="auto"/>
      </w:pPr>
      <w:r>
        <w:continuationSeparator/>
      </w:r>
    </w:p>
  </w:footnote>
  <w:footnote w:type="continuationNotice" w:id="1">
    <w:p w14:paraId="14CCA6DA" w14:textId="77777777" w:rsidR="00687272" w:rsidRDefault="006872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203091"/>
      <w:docPartObj>
        <w:docPartGallery w:val="Page Numbers (Top of Page)"/>
        <w:docPartUnique/>
      </w:docPartObj>
    </w:sdtPr>
    <w:sdtEndPr>
      <w:rPr>
        <w:rFonts w:ascii="Times New Roman" w:hAnsi="Times New Roman" w:cs="Times New Roman"/>
        <w:noProof/>
        <w:sz w:val="24"/>
        <w:szCs w:val="24"/>
      </w:rPr>
    </w:sdtEndPr>
    <w:sdtContent>
      <w:p w14:paraId="0F1C40DE" w14:textId="66CDB3B2" w:rsidR="00211FA4" w:rsidRPr="00673757" w:rsidRDefault="00211FA4">
        <w:pPr>
          <w:pStyle w:val="Header"/>
          <w:jc w:val="center"/>
          <w:rPr>
            <w:rFonts w:ascii="Times New Roman" w:hAnsi="Times New Roman" w:cs="Times New Roman"/>
            <w:sz w:val="24"/>
            <w:szCs w:val="24"/>
          </w:rPr>
        </w:pPr>
        <w:r w:rsidRPr="00673757">
          <w:rPr>
            <w:rFonts w:ascii="Times New Roman" w:hAnsi="Times New Roman" w:cs="Times New Roman"/>
            <w:sz w:val="24"/>
            <w:szCs w:val="24"/>
          </w:rPr>
          <w:fldChar w:fldCharType="begin"/>
        </w:r>
        <w:r w:rsidRPr="00673757">
          <w:rPr>
            <w:rFonts w:ascii="Times New Roman" w:hAnsi="Times New Roman" w:cs="Times New Roman"/>
            <w:sz w:val="24"/>
            <w:szCs w:val="24"/>
          </w:rPr>
          <w:instrText xml:space="preserve"> PAGE   \* MERGEFORMAT </w:instrText>
        </w:r>
        <w:r w:rsidRPr="00673757">
          <w:rPr>
            <w:rFonts w:ascii="Times New Roman" w:hAnsi="Times New Roman" w:cs="Times New Roman"/>
            <w:sz w:val="24"/>
            <w:szCs w:val="24"/>
          </w:rPr>
          <w:fldChar w:fldCharType="separate"/>
        </w:r>
        <w:r w:rsidR="00555F17">
          <w:rPr>
            <w:rFonts w:ascii="Times New Roman" w:hAnsi="Times New Roman" w:cs="Times New Roman"/>
            <w:noProof/>
            <w:sz w:val="24"/>
            <w:szCs w:val="24"/>
          </w:rPr>
          <w:t>1</w:t>
        </w:r>
        <w:r w:rsidR="00555F17">
          <w:rPr>
            <w:rFonts w:ascii="Times New Roman" w:hAnsi="Times New Roman" w:cs="Times New Roman"/>
            <w:noProof/>
            <w:sz w:val="24"/>
            <w:szCs w:val="24"/>
          </w:rPr>
          <w:t>2</w:t>
        </w:r>
        <w:r w:rsidRPr="00673757">
          <w:rPr>
            <w:rFonts w:ascii="Times New Roman" w:hAnsi="Times New Roman" w:cs="Times New Roman"/>
            <w:noProof/>
            <w:sz w:val="24"/>
            <w:szCs w:val="24"/>
          </w:rPr>
          <w:fldChar w:fldCharType="end"/>
        </w:r>
      </w:p>
    </w:sdtContent>
  </w:sdt>
  <w:p w14:paraId="3E546DB1" w14:textId="77777777" w:rsidR="00211FA4" w:rsidRDefault="00211FA4">
    <w:pPr>
      <w:pStyle w:val="Header"/>
    </w:pPr>
  </w:p>
</w:hdr>
</file>

<file path=word/intelligence2.xml><?xml version="1.0" encoding="utf-8"?>
<int2:intelligence xmlns:int2="http://schemas.microsoft.com/office/intelligence/2020/intelligence" xmlns:oel="http://schemas.microsoft.com/office/2019/extlst">
  <int2:observations>
    <int2:textHash int2:hashCode="DEHW2QenEB16KX" int2:id="nr1V1zN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E3069"/>
    <w:multiLevelType w:val="hybridMultilevel"/>
    <w:tmpl w:val="E00E0FDE"/>
    <w:lvl w:ilvl="0" w:tplc="C240BB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CB7A0A"/>
    <w:multiLevelType w:val="hybridMultilevel"/>
    <w:tmpl w:val="A22A9106"/>
    <w:lvl w:ilvl="0" w:tplc="5B2059A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FAA3D22"/>
    <w:multiLevelType w:val="hybridMultilevel"/>
    <w:tmpl w:val="AAE21DA2"/>
    <w:lvl w:ilvl="0" w:tplc="92DC7298">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2110395260">
    <w:abstractNumId w:val="0"/>
  </w:num>
  <w:num w:numId="2" w16cid:durableId="789740417">
    <w:abstractNumId w:val="1"/>
  </w:num>
  <w:num w:numId="3" w16cid:durableId="881133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99B"/>
    <w:rsid w:val="00000B9A"/>
    <w:rsid w:val="00002057"/>
    <w:rsid w:val="00007466"/>
    <w:rsid w:val="00021E3F"/>
    <w:rsid w:val="00030FB4"/>
    <w:rsid w:val="00035B35"/>
    <w:rsid w:val="000407C7"/>
    <w:rsid w:val="00045108"/>
    <w:rsid w:val="000451A6"/>
    <w:rsid w:val="0005374B"/>
    <w:rsid w:val="00057F8B"/>
    <w:rsid w:val="00076A2D"/>
    <w:rsid w:val="000809F7"/>
    <w:rsid w:val="000B32E4"/>
    <w:rsid w:val="000C1628"/>
    <w:rsid w:val="000D3047"/>
    <w:rsid w:val="000D3BA0"/>
    <w:rsid w:val="000D41E1"/>
    <w:rsid w:val="000D5D5F"/>
    <w:rsid w:val="000E6AF7"/>
    <w:rsid w:val="000F3ECD"/>
    <w:rsid w:val="000F42C6"/>
    <w:rsid w:val="00103AF5"/>
    <w:rsid w:val="00115D38"/>
    <w:rsid w:val="00121E6B"/>
    <w:rsid w:val="00126268"/>
    <w:rsid w:val="00137EAC"/>
    <w:rsid w:val="00145ECC"/>
    <w:rsid w:val="00152BC7"/>
    <w:rsid w:val="001576E1"/>
    <w:rsid w:val="00171206"/>
    <w:rsid w:val="00172627"/>
    <w:rsid w:val="00172710"/>
    <w:rsid w:val="00195907"/>
    <w:rsid w:val="001973B9"/>
    <w:rsid w:val="001A6A63"/>
    <w:rsid w:val="001C09B5"/>
    <w:rsid w:val="001E522F"/>
    <w:rsid w:val="001F491C"/>
    <w:rsid w:val="001F5866"/>
    <w:rsid w:val="00201BA5"/>
    <w:rsid w:val="002035E7"/>
    <w:rsid w:val="002105CD"/>
    <w:rsid w:val="00211FA4"/>
    <w:rsid w:val="00251324"/>
    <w:rsid w:val="00253502"/>
    <w:rsid w:val="002611BD"/>
    <w:rsid w:val="002674A9"/>
    <w:rsid w:val="00276BB9"/>
    <w:rsid w:val="00276BE3"/>
    <w:rsid w:val="00281D2A"/>
    <w:rsid w:val="00281FB8"/>
    <w:rsid w:val="0029376A"/>
    <w:rsid w:val="00294824"/>
    <w:rsid w:val="002955A2"/>
    <w:rsid w:val="002A1E3C"/>
    <w:rsid w:val="002B1D94"/>
    <w:rsid w:val="002B24A1"/>
    <w:rsid w:val="002B5509"/>
    <w:rsid w:val="002B5672"/>
    <w:rsid w:val="002D00B6"/>
    <w:rsid w:val="002D4A7B"/>
    <w:rsid w:val="002F01EE"/>
    <w:rsid w:val="002F1C9A"/>
    <w:rsid w:val="003057E3"/>
    <w:rsid w:val="00317722"/>
    <w:rsid w:val="00323886"/>
    <w:rsid w:val="003343AF"/>
    <w:rsid w:val="00341544"/>
    <w:rsid w:val="003521C2"/>
    <w:rsid w:val="00353018"/>
    <w:rsid w:val="003538A2"/>
    <w:rsid w:val="00354AB5"/>
    <w:rsid w:val="003835F2"/>
    <w:rsid w:val="00395562"/>
    <w:rsid w:val="003961C8"/>
    <w:rsid w:val="003A08E6"/>
    <w:rsid w:val="003A21E5"/>
    <w:rsid w:val="003E608F"/>
    <w:rsid w:val="003F4D24"/>
    <w:rsid w:val="00401B50"/>
    <w:rsid w:val="00430BD7"/>
    <w:rsid w:val="00435CB6"/>
    <w:rsid w:val="0045736F"/>
    <w:rsid w:val="0047343C"/>
    <w:rsid w:val="004851AB"/>
    <w:rsid w:val="004855F6"/>
    <w:rsid w:val="004902B6"/>
    <w:rsid w:val="004A2C72"/>
    <w:rsid w:val="004A6E54"/>
    <w:rsid w:val="004A7A72"/>
    <w:rsid w:val="004B307F"/>
    <w:rsid w:val="004B45FD"/>
    <w:rsid w:val="004C1FE4"/>
    <w:rsid w:val="004C4639"/>
    <w:rsid w:val="004C697D"/>
    <w:rsid w:val="004D16E8"/>
    <w:rsid w:val="004D5056"/>
    <w:rsid w:val="004D5D76"/>
    <w:rsid w:val="004E456F"/>
    <w:rsid w:val="004E6803"/>
    <w:rsid w:val="004F13AC"/>
    <w:rsid w:val="00500C8C"/>
    <w:rsid w:val="00515FD2"/>
    <w:rsid w:val="005210CC"/>
    <w:rsid w:val="005278FD"/>
    <w:rsid w:val="005368AA"/>
    <w:rsid w:val="00541FA3"/>
    <w:rsid w:val="00550512"/>
    <w:rsid w:val="00554798"/>
    <w:rsid w:val="00555F17"/>
    <w:rsid w:val="005567F5"/>
    <w:rsid w:val="0057125B"/>
    <w:rsid w:val="00576C6C"/>
    <w:rsid w:val="00577384"/>
    <w:rsid w:val="00582F1F"/>
    <w:rsid w:val="0059018F"/>
    <w:rsid w:val="00592D4C"/>
    <w:rsid w:val="005B2D63"/>
    <w:rsid w:val="005B403D"/>
    <w:rsid w:val="005B68CC"/>
    <w:rsid w:val="005C3D5D"/>
    <w:rsid w:val="005D1A71"/>
    <w:rsid w:val="005D4BF4"/>
    <w:rsid w:val="005D60FB"/>
    <w:rsid w:val="005F55AC"/>
    <w:rsid w:val="00604B54"/>
    <w:rsid w:val="00605EF1"/>
    <w:rsid w:val="0061115C"/>
    <w:rsid w:val="006172F0"/>
    <w:rsid w:val="0063755C"/>
    <w:rsid w:val="00645DF4"/>
    <w:rsid w:val="006472EA"/>
    <w:rsid w:val="00653FAC"/>
    <w:rsid w:val="006568C5"/>
    <w:rsid w:val="00664D0A"/>
    <w:rsid w:val="006722CB"/>
    <w:rsid w:val="00673757"/>
    <w:rsid w:val="0068348C"/>
    <w:rsid w:val="00685FB0"/>
    <w:rsid w:val="00687272"/>
    <w:rsid w:val="006911CE"/>
    <w:rsid w:val="006C08EC"/>
    <w:rsid w:val="006C0AA7"/>
    <w:rsid w:val="006D34C3"/>
    <w:rsid w:val="006E14AC"/>
    <w:rsid w:val="006E2F28"/>
    <w:rsid w:val="0071140B"/>
    <w:rsid w:val="007118B8"/>
    <w:rsid w:val="0071686D"/>
    <w:rsid w:val="00721557"/>
    <w:rsid w:val="007254E0"/>
    <w:rsid w:val="00730384"/>
    <w:rsid w:val="00745806"/>
    <w:rsid w:val="00752150"/>
    <w:rsid w:val="00761002"/>
    <w:rsid w:val="00761B85"/>
    <w:rsid w:val="00766E91"/>
    <w:rsid w:val="007B00F6"/>
    <w:rsid w:val="007B0C44"/>
    <w:rsid w:val="007B76F5"/>
    <w:rsid w:val="007C554F"/>
    <w:rsid w:val="007C59A2"/>
    <w:rsid w:val="007E27CE"/>
    <w:rsid w:val="007E5394"/>
    <w:rsid w:val="007F1E1C"/>
    <w:rsid w:val="008035EA"/>
    <w:rsid w:val="008129E1"/>
    <w:rsid w:val="0081512D"/>
    <w:rsid w:val="00832E34"/>
    <w:rsid w:val="00833ABC"/>
    <w:rsid w:val="00846407"/>
    <w:rsid w:val="00864F7D"/>
    <w:rsid w:val="00890811"/>
    <w:rsid w:val="00890F03"/>
    <w:rsid w:val="00892C1D"/>
    <w:rsid w:val="00893313"/>
    <w:rsid w:val="008A7E97"/>
    <w:rsid w:val="008B75E5"/>
    <w:rsid w:val="008C39F6"/>
    <w:rsid w:val="008C7EDA"/>
    <w:rsid w:val="008D15C9"/>
    <w:rsid w:val="008E0D70"/>
    <w:rsid w:val="008E1DF3"/>
    <w:rsid w:val="008E3012"/>
    <w:rsid w:val="008E6881"/>
    <w:rsid w:val="008F45D1"/>
    <w:rsid w:val="008F7549"/>
    <w:rsid w:val="0090548A"/>
    <w:rsid w:val="00912109"/>
    <w:rsid w:val="0091525E"/>
    <w:rsid w:val="009161F4"/>
    <w:rsid w:val="009172AE"/>
    <w:rsid w:val="00920722"/>
    <w:rsid w:val="00922830"/>
    <w:rsid w:val="0092441D"/>
    <w:rsid w:val="0092496D"/>
    <w:rsid w:val="00933345"/>
    <w:rsid w:val="00936CC7"/>
    <w:rsid w:val="00937E24"/>
    <w:rsid w:val="009618A9"/>
    <w:rsid w:val="00961D9C"/>
    <w:rsid w:val="00964997"/>
    <w:rsid w:val="00965AEA"/>
    <w:rsid w:val="00972E84"/>
    <w:rsid w:val="00974A9B"/>
    <w:rsid w:val="00981D54"/>
    <w:rsid w:val="00984515"/>
    <w:rsid w:val="0098569B"/>
    <w:rsid w:val="009A5424"/>
    <w:rsid w:val="009A7AE6"/>
    <w:rsid w:val="009C1BBB"/>
    <w:rsid w:val="009C756E"/>
    <w:rsid w:val="009E7DA0"/>
    <w:rsid w:val="009F0668"/>
    <w:rsid w:val="009F1F1B"/>
    <w:rsid w:val="009F33ED"/>
    <w:rsid w:val="009F3575"/>
    <w:rsid w:val="00A03118"/>
    <w:rsid w:val="00A17C6D"/>
    <w:rsid w:val="00A25FFA"/>
    <w:rsid w:val="00A36569"/>
    <w:rsid w:val="00A42B1E"/>
    <w:rsid w:val="00A42EC5"/>
    <w:rsid w:val="00A4358B"/>
    <w:rsid w:val="00A4392B"/>
    <w:rsid w:val="00A45D83"/>
    <w:rsid w:val="00A4601C"/>
    <w:rsid w:val="00A50C08"/>
    <w:rsid w:val="00A52938"/>
    <w:rsid w:val="00A709EE"/>
    <w:rsid w:val="00A71535"/>
    <w:rsid w:val="00A82243"/>
    <w:rsid w:val="00A828F1"/>
    <w:rsid w:val="00A90C6E"/>
    <w:rsid w:val="00AA1E28"/>
    <w:rsid w:val="00AA4265"/>
    <w:rsid w:val="00AA4EB2"/>
    <w:rsid w:val="00AB0996"/>
    <w:rsid w:val="00AB3600"/>
    <w:rsid w:val="00AB3C28"/>
    <w:rsid w:val="00AE309A"/>
    <w:rsid w:val="00AF0D26"/>
    <w:rsid w:val="00AF44DD"/>
    <w:rsid w:val="00AF63C4"/>
    <w:rsid w:val="00B00F84"/>
    <w:rsid w:val="00B0755B"/>
    <w:rsid w:val="00B14923"/>
    <w:rsid w:val="00B256B7"/>
    <w:rsid w:val="00B521E4"/>
    <w:rsid w:val="00B71BA0"/>
    <w:rsid w:val="00B7249D"/>
    <w:rsid w:val="00B72E1B"/>
    <w:rsid w:val="00B74104"/>
    <w:rsid w:val="00B831C6"/>
    <w:rsid w:val="00B84D47"/>
    <w:rsid w:val="00B85C8C"/>
    <w:rsid w:val="00B97F78"/>
    <w:rsid w:val="00BA1717"/>
    <w:rsid w:val="00BA5E89"/>
    <w:rsid w:val="00BB0397"/>
    <w:rsid w:val="00BC3CAC"/>
    <w:rsid w:val="00BD4840"/>
    <w:rsid w:val="00BD5DD1"/>
    <w:rsid w:val="00BE25AE"/>
    <w:rsid w:val="00BE3082"/>
    <w:rsid w:val="00BE50FF"/>
    <w:rsid w:val="00BF0DEF"/>
    <w:rsid w:val="00BF1DB1"/>
    <w:rsid w:val="00C1569B"/>
    <w:rsid w:val="00C16C10"/>
    <w:rsid w:val="00C25CCD"/>
    <w:rsid w:val="00C356D9"/>
    <w:rsid w:val="00C43F6C"/>
    <w:rsid w:val="00C44662"/>
    <w:rsid w:val="00C4515A"/>
    <w:rsid w:val="00C4612F"/>
    <w:rsid w:val="00C4646E"/>
    <w:rsid w:val="00C65750"/>
    <w:rsid w:val="00C66149"/>
    <w:rsid w:val="00C72AB2"/>
    <w:rsid w:val="00C81020"/>
    <w:rsid w:val="00C83CA2"/>
    <w:rsid w:val="00C87B7A"/>
    <w:rsid w:val="00C9573A"/>
    <w:rsid w:val="00C9788E"/>
    <w:rsid w:val="00CA72E5"/>
    <w:rsid w:val="00CB699B"/>
    <w:rsid w:val="00CC50E3"/>
    <w:rsid w:val="00CC6D5F"/>
    <w:rsid w:val="00CD78A7"/>
    <w:rsid w:val="00CE5255"/>
    <w:rsid w:val="00CE63DA"/>
    <w:rsid w:val="00CF15A9"/>
    <w:rsid w:val="00CF1B21"/>
    <w:rsid w:val="00CF6AC8"/>
    <w:rsid w:val="00D06F39"/>
    <w:rsid w:val="00D20550"/>
    <w:rsid w:val="00D247D5"/>
    <w:rsid w:val="00D34E73"/>
    <w:rsid w:val="00D362F0"/>
    <w:rsid w:val="00D42116"/>
    <w:rsid w:val="00D44A88"/>
    <w:rsid w:val="00D44D16"/>
    <w:rsid w:val="00D542E2"/>
    <w:rsid w:val="00D674CD"/>
    <w:rsid w:val="00D749AD"/>
    <w:rsid w:val="00D74FC6"/>
    <w:rsid w:val="00D816AB"/>
    <w:rsid w:val="00D9578D"/>
    <w:rsid w:val="00DA04C9"/>
    <w:rsid w:val="00DB1B8A"/>
    <w:rsid w:val="00DB2CB9"/>
    <w:rsid w:val="00DE0B8D"/>
    <w:rsid w:val="00DE4D2F"/>
    <w:rsid w:val="00DE743C"/>
    <w:rsid w:val="00DE77B9"/>
    <w:rsid w:val="00DF3A82"/>
    <w:rsid w:val="00E02998"/>
    <w:rsid w:val="00E10982"/>
    <w:rsid w:val="00E316A5"/>
    <w:rsid w:val="00E338AF"/>
    <w:rsid w:val="00E40C06"/>
    <w:rsid w:val="00E51ED3"/>
    <w:rsid w:val="00E60C10"/>
    <w:rsid w:val="00E73992"/>
    <w:rsid w:val="00E83839"/>
    <w:rsid w:val="00E85366"/>
    <w:rsid w:val="00EA071E"/>
    <w:rsid w:val="00EA21E0"/>
    <w:rsid w:val="00EA6503"/>
    <w:rsid w:val="00ED254B"/>
    <w:rsid w:val="00ED3FD8"/>
    <w:rsid w:val="00ED42BC"/>
    <w:rsid w:val="00EE18DA"/>
    <w:rsid w:val="00EE24CE"/>
    <w:rsid w:val="00EE5FE5"/>
    <w:rsid w:val="00F00BEF"/>
    <w:rsid w:val="00F0190D"/>
    <w:rsid w:val="00F12EC8"/>
    <w:rsid w:val="00F27785"/>
    <w:rsid w:val="00F27E47"/>
    <w:rsid w:val="00F30543"/>
    <w:rsid w:val="00F37223"/>
    <w:rsid w:val="00F37B46"/>
    <w:rsid w:val="00F40A72"/>
    <w:rsid w:val="00F4724F"/>
    <w:rsid w:val="00F47DBA"/>
    <w:rsid w:val="00F53F22"/>
    <w:rsid w:val="00F5645F"/>
    <w:rsid w:val="00F571A8"/>
    <w:rsid w:val="00F62C5C"/>
    <w:rsid w:val="00F81420"/>
    <w:rsid w:val="00F83153"/>
    <w:rsid w:val="00F86257"/>
    <w:rsid w:val="00F86832"/>
    <w:rsid w:val="00FA4BD9"/>
    <w:rsid w:val="00FB4C57"/>
    <w:rsid w:val="00FC3CE5"/>
    <w:rsid w:val="00FC64A5"/>
    <w:rsid w:val="00FD3910"/>
    <w:rsid w:val="00FD72B7"/>
    <w:rsid w:val="00FE2CE0"/>
    <w:rsid w:val="00FF4482"/>
    <w:rsid w:val="021CAA16"/>
    <w:rsid w:val="02275AFE"/>
    <w:rsid w:val="0330F282"/>
    <w:rsid w:val="0769EA0C"/>
    <w:rsid w:val="09D9B087"/>
    <w:rsid w:val="0E035643"/>
    <w:rsid w:val="100C52DA"/>
    <w:rsid w:val="11EE3491"/>
    <w:rsid w:val="17DA86B1"/>
    <w:rsid w:val="1880C6E7"/>
    <w:rsid w:val="18D34BA0"/>
    <w:rsid w:val="1AC23FF7"/>
    <w:rsid w:val="1B9A8085"/>
    <w:rsid w:val="1BC1581E"/>
    <w:rsid w:val="1C7E7617"/>
    <w:rsid w:val="1F1C7640"/>
    <w:rsid w:val="1F53438F"/>
    <w:rsid w:val="23B16FBD"/>
    <w:rsid w:val="23D597CF"/>
    <w:rsid w:val="2F759780"/>
    <w:rsid w:val="33FEA271"/>
    <w:rsid w:val="3834C282"/>
    <w:rsid w:val="38560AFD"/>
    <w:rsid w:val="3BC20688"/>
    <w:rsid w:val="3C0C8F63"/>
    <w:rsid w:val="3F4B47AE"/>
    <w:rsid w:val="3F9575F3"/>
    <w:rsid w:val="4153E374"/>
    <w:rsid w:val="41FDE9CE"/>
    <w:rsid w:val="48C2ED75"/>
    <w:rsid w:val="4A08715B"/>
    <w:rsid w:val="4DA3F20E"/>
    <w:rsid w:val="4F784669"/>
    <w:rsid w:val="533C64BF"/>
    <w:rsid w:val="5528B5C2"/>
    <w:rsid w:val="55671103"/>
    <w:rsid w:val="58F54778"/>
    <w:rsid w:val="5F206203"/>
    <w:rsid w:val="6044447C"/>
    <w:rsid w:val="60832FC0"/>
    <w:rsid w:val="610D6B53"/>
    <w:rsid w:val="64545AE0"/>
    <w:rsid w:val="656D6288"/>
    <w:rsid w:val="6DFECDB0"/>
    <w:rsid w:val="6E7797C1"/>
    <w:rsid w:val="6F0781B8"/>
    <w:rsid w:val="6FAFA924"/>
    <w:rsid w:val="6FC20B7D"/>
    <w:rsid w:val="71640F3D"/>
    <w:rsid w:val="7328E6DE"/>
    <w:rsid w:val="7336F97A"/>
    <w:rsid w:val="742952CE"/>
    <w:rsid w:val="78B6C8AD"/>
    <w:rsid w:val="79E54988"/>
    <w:rsid w:val="7EEAAB3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8BA9E"/>
  <w15:docId w15:val="{3C685C61-2D35-4ECF-80C1-1155BE223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99B"/>
    <w:pPr>
      <w:spacing w:after="200" w:line="276" w:lineRule="auto"/>
    </w:pPr>
  </w:style>
  <w:style w:type="paragraph" w:styleId="Heading1">
    <w:name w:val="heading 1"/>
    <w:basedOn w:val="Normal"/>
    <w:next w:val="Normal"/>
    <w:link w:val="Heading1Char"/>
    <w:uiPriority w:val="9"/>
    <w:qFormat/>
    <w:rsid w:val="00CB699B"/>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CB699B"/>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CB699B"/>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CB699B"/>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CB699B"/>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CB699B"/>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CB699B"/>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CB699B"/>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CB699B"/>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CB699B"/>
    <w:rPr>
      <w:b/>
      <w:bCs/>
      <w:color w:val="5B9BD5" w:themeColor="accent1"/>
      <w:sz w:val="18"/>
      <w:szCs w:val="18"/>
    </w:rPr>
  </w:style>
  <w:style w:type="character" w:customStyle="1" w:styleId="CaptionChar">
    <w:name w:val="Caption Char"/>
    <w:uiPriority w:val="99"/>
    <w:rsid w:val="00CB699B"/>
  </w:style>
  <w:style w:type="paragraph" w:styleId="EndnoteText">
    <w:name w:val="endnote text"/>
    <w:basedOn w:val="Normal"/>
    <w:link w:val="EndnoteTextChar"/>
    <w:uiPriority w:val="99"/>
    <w:semiHidden/>
    <w:unhideWhenUsed/>
    <w:rsid w:val="00CB699B"/>
    <w:pPr>
      <w:spacing w:after="0" w:line="240" w:lineRule="auto"/>
    </w:pPr>
    <w:rPr>
      <w:sz w:val="20"/>
    </w:rPr>
  </w:style>
  <w:style w:type="character" w:customStyle="1" w:styleId="EndnoteTextChar">
    <w:name w:val="Endnote Text Char"/>
    <w:link w:val="EndnoteText"/>
    <w:uiPriority w:val="99"/>
    <w:rsid w:val="00CB699B"/>
    <w:rPr>
      <w:sz w:val="20"/>
    </w:rPr>
  </w:style>
  <w:style w:type="character" w:styleId="EndnoteReference">
    <w:name w:val="endnote reference"/>
    <w:basedOn w:val="DefaultParagraphFont"/>
    <w:uiPriority w:val="99"/>
    <w:semiHidden/>
    <w:unhideWhenUsed/>
    <w:rsid w:val="00CB699B"/>
    <w:rPr>
      <w:vertAlign w:val="superscript"/>
    </w:rPr>
  </w:style>
  <w:style w:type="paragraph" w:styleId="TableofFigures">
    <w:name w:val="table of figures"/>
    <w:basedOn w:val="Normal"/>
    <w:next w:val="Normal"/>
    <w:uiPriority w:val="99"/>
    <w:unhideWhenUsed/>
    <w:rsid w:val="00CB699B"/>
    <w:pPr>
      <w:spacing w:after="0"/>
    </w:pPr>
  </w:style>
  <w:style w:type="character" w:customStyle="1" w:styleId="Heading1Char">
    <w:name w:val="Heading 1 Char"/>
    <w:basedOn w:val="DefaultParagraphFont"/>
    <w:link w:val="Heading1"/>
    <w:uiPriority w:val="9"/>
    <w:rsid w:val="00CB699B"/>
    <w:rPr>
      <w:rFonts w:ascii="Arial" w:eastAsia="Arial" w:hAnsi="Arial" w:cs="Arial"/>
      <w:sz w:val="40"/>
      <w:szCs w:val="40"/>
    </w:rPr>
  </w:style>
  <w:style w:type="character" w:customStyle="1" w:styleId="Heading2Char">
    <w:name w:val="Heading 2 Char"/>
    <w:basedOn w:val="DefaultParagraphFont"/>
    <w:link w:val="Heading2"/>
    <w:uiPriority w:val="9"/>
    <w:rsid w:val="00CB699B"/>
    <w:rPr>
      <w:rFonts w:ascii="Arial" w:eastAsia="Arial" w:hAnsi="Arial" w:cs="Arial"/>
      <w:sz w:val="34"/>
    </w:rPr>
  </w:style>
  <w:style w:type="character" w:customStyle="1" w:styleId="Heading3Char">
    <w:name w:val="Heading 3 Char"/>
    <w:basedOn w:val="DefaultParagraphFont"/>
    <w:link w:val="Heading3"/>
    <w:uiPriority w:val="9"/>
    <w:rsid w:val="00CB699B"/>
    <w:rPr>
      <w:rFonts w:ascii="Arial" w:eastAsia="Arial" w:hAnsi="Arial" w:cs="Arial"/>
      <w:sz w:val="30"/>
      <w:szCs w:val="30"/>
    </w:rPr>
  </w:style>
  <w:style w:type="character" w:customStyle="1" w:styleId="Heading4Char">
    <w:name w:val="Heading 4 Char"/>
    <w:basedOn w:val="DefaultParagraphFont"/>
    <w:link w:val="Heading4"/>
    <w:uiPriority w:val="9"/>
    <w:rsid w:val="00CB699B"/>
    <w:rPr>
      <w:rFonts w:ascii="Arial" w:eastAsia="Arial" w:hAnsi="Arial" w:cs="Arial"/>
      <w:b/>
      <w:bCs/>
      <w:sz w:val="26"/>
      <w:szCs w:val="26"/>
    </w:rPr>
  </w:style>
  <w:style w:type="character" w:customStyle="1" w:styleId="Heading5Char">
    <w:name w:val="Heading 5 Char"/>
    <w:basedOn w:val="DefaultParagraphFont"/>
    <w:link w:val="Heading5"/>
    <w:uiPriority w:val="9"/>
    <w:rsid w:val="00CB699B"/>
    <w:rPr>
      <w:rFonts w:ascii="Arial" w:eastAsia="Arial" w:hAnsi="Arial" w:cs="Arial"/>
      <w:b/>
      <w:bCs/>
      <w:sz w:val="24"/>
      <w:szCs w:val="24"/>
    </w:rPr>
  </w:style>
  <w:style w:type="character" w:customStyle="1" w:styleId="Heading6Char">
    <w:name w:val="Heading 6 Char"/>
    <w:basedOn w:val="DefaultParagraphFont"/>
    <w:link w:val="Heading6"/>
    <w:uiPriority w:val="9"/>
    <w:rsid w:val="00CB699B"/>
    <w:rPr>
      <w:rFonts w:ascii="Arial" w:eastAsia="Arial" w:hAnsi="Arial" w:cs="Arial"/>
      <w:b/>
      <w:bCs/>
      <w:sz w:val="22"/>
      <w:szCs w:val="22"/>
    </w:rPr>
  </w:style>
  <w:style w:type="character" w:customStyle="1" w:styleId="Heading7Char">
    <w:name w:val="Heading 7 Char"/>
    <w:basedOn w:val="DefaultParagraphFont"/>
    <w:link w:val="Heading7"/>
    <w:uiPriority w:val="9"/>
    <w:rsid w:val="00CB699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CB699B"/>
    <w:rPr>
      <w:rFonts w:ascii="Arial" w:eastAsia="Arial" w:hAnsi="Arial" w:cs="Arial"/>
      <w:i/>
      <w:iCs/>
      <w:sz w:val="22"/>
      <w:szCs w:val="22"/>
    </w:rPr>
  </w:style>
  <w:style w:type="character" w:customStyle="1" w:styleId="Heading9Char">
    <w:name w:val="Heading 9 Char"/>
    <w:basedOn w:val="DefaultParagraphFont"/>
    <w:link w:val="Heading9"/>
    <w:uiPriority w:val="9"/>
    <w:rsid w:val="00CB699B"/>
    <w:rPr>
      <w:rFonts w:ascii="Arial" w:eastAsia="Arial" w:hAnsi="Arial" w:cs="Arial"/>
      <w:i/>
      <w:iCs/>
      <w:sz w:val="21"/>
      <w:szCs w:val="21"/>
    </w:rPr>
  </w:style>
  <w:style w:type="paragraph" w:styleId="NoSpacing">
    <w:name w:val="No Spacing"/>
    <w:uiPriority w:val="1"/>
    <w:qFormat/>
    <w:rsid w:val="00CB699B"/>
    <w:pPr>
      <w:spacing w:after="0" w:line="240" w:lineRule="auto"/>
    </w:pPr>
  </w:style>
  <w:style w:type="paragraph" w:styleId="Title">
    <w:name w:val="Title"/>
    <w:basedOn w:val="Normal"/>
    <w:next w:val="Normal"/>
    <w:link w:val="TitleChar"/>
    <w:uiPriority w:val="10"/>
    <w:qFormat/>
    <w:rsid w:val="00CB699B"/>
    <w:pPr>
      <w:spacing w:before="300"/>
      <w:contextualSpacing/>
    </w:pPr>
    <w:rPr>
      <w:sz w:val="48"/>
      <w:szCs w:val="48"/>
    </w:rPr>
  </w:style>
  <w:style w:type="character" w:customStyle="1" w:styleId="TitleChar">
    <w:name w:val="Title Char"/>
    <w:basedOn w:val="DefaultParagraphFont"/>
    <w:link w:val="Title"/>
    <w:uiPriority w:val="10"/>
    <w:rsid w:val="00CB699B"/>
    <w:rPr>
      <w:sz w:val="48"/>
      <w:szCs w:val="48"/>
    </w:rPr>
  </w:style>
  <w:style w:type="paragraph" w:styleId="Subtitle">
    <w:name w:val="Subtitle"/>
    <w:basedOn w:val="Normal"/>
    <w:next w:val="Normal"/>
    <w:link w:val="SubtitleChar"/>
    <w:uiPriority w:val="11"/>
    <w:qFormat/>
    <w:rsid w:val="00CB699B"/>
    <w:pPr>
      <w:spacing w:before="200"/>
    </w:pPr>
    <w:rPr>
      <w:sz w:val="24"/>
      <w:szCs w:val="24"/>
    </w:rPr>
  </w:style>
  <w:style w:type="character" w:customStyle="1" w:styleId="SubtitleChar">
    <w:name w:val="Subtitle Char"/>
    <w:basedOn w:val="DefaultParagraphFont"/>
    <w:link w:val="Subtitle"/>
    <w:uiPriority w:val="11"/>
    <w:rsid w:val="00CB699B"/>
    <w:rPr>
      <w:sz w:val="24"/>
      <w:szCs w:val="24"/>
    </w:rPr>
  </w:style>
  <w:style w:type="paragraph" w:styleId="Quote">
    <w:name w:val="Quote"/>
    <w:basedOn w:val="Normal"/>
    <w:next w:val="Normal"/>
    <w:link w:val="QuoteChar"/>
    <w:uiPriority w:val="29"/>
    <w:qFormat/>
    <w:rsid w:val="00CB699B"/>
    <w:pPr>
      <w:ind w:left="720" w:right="720"/>
    </w:pPr>
    <w:rPr>
      <w:i/>
    </w:rPr>
  </w:style>
  <w:style w:type="character" w:customStyle="1" w:styleId="QuoteChar">
    <w:name w:val="Quote Char"/>
    <w:link w:val="Quote"/>
    <w:uiPriority w:val="29"/>
    <w:rsid w:val="00CB699B"/>
    <w:rPr>
      <w:i/>
    </w:rPr>
  </w:style>
  <w:style w:type="paragraph" w:styleId="IntenseQuote">
    <w:name w:val="Intense Quote"/>
    <w:basedOn w:val="Normal"/>
    <w:next w:val="Normal"/>
    <w:link w:val="IntenseQuoteChar"/>
    <w:uiPriority w:val="30"/>
    <w:qFormat/>
    <w:rsid w:val="00CB699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CB699B"/>
    <w:rPr>
      <w:i/>
    </w:rPr>
  </w:style>
  <w:style w:type="paragraph" w:styleId="Header">
    <w:name w:val="header"/>
    <w:basedOn w:val="Normal"/>
    <w:link w:val="HeaderChar"/>
    <w:uiPriority w:val="99"/>
    <w:unhideWhenUsed/>
    <w:rsid w:val="00CB699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CB699B"/>
  </w:style>
  <w:style w:type="paragraph" w:styleId="Footer">
    <w:name w:val="footer"/>
    <w:basedOn w:val="Normal"/>
    <w:link w:val="FooterChar"/>
    <w:uiPriority w:val="99"/>
    <w:unhideWhenUsed/>
    <w:rsid w:val="00CB699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CB699B"/>
  </w:style>
  <w:style w:type="table" w:customStyle="1" w:styleId="TableGridLight1">
    <w:name w:val="Table Grid Light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CB699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CB699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CB699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CB699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CB699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CB699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CB699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CB699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CB699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CB699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CB699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CB699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CB699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CB699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CB699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CB699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CB699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CB699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CB699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CB699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CB699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CB699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CB699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CB699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CB699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CB699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CB699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CB699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CB699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CB699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CB699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CB699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CB699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CB699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CB699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CB699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CB69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CB699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CB699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CB699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CB699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CB699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CB699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CB699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CB699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CB699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CB699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CB699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CB699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rsid w:val="00CB699B"/>
    <w:pPr>
      <w:spacing w:after="40" w:line="240" w:lineRule="auto"/>
    </w:pPr>
    <w:rPr>
      <w:sz w:val="18"/>
    </w:rPr>
  </w:style>
  <w:style w:type="character" w:customStyle="1" w:styleId="FootnoteTextChar">
    <w:name w:val="Footnote Text Char"/>
    <w:link w:val="FootnoteText"/>
    <w:uiPriority w:val="99"/>
    <w:rsid w:val="00CB699B"/>
    <w:rPr>
      <w:sz w:val="18"/>
    </w:rPr>
  </w:style>
  <w:style w:type="character" w:styleId="FootnoteReference">
    <w:name w:val="footnote reference"/>
    <w:basedOn w:val="DefaultParagraphFont"/>
    <w:uiPriority w:val="99"/>
    <w:unhideWhenUsed/>
    <w:rsid w:val="00CB699B"/>
    <w:rPr>
      <w:vertAlign w:val="superscript"/>
    </w:rPr>
  </w:style>
  <w:style w:type="paragraph" w:styleId="TOC1">
    <w:name w:val="toc 1"/>
    <w:basedOn w:val="Normal"/>
    <w:next w:val="Normal"/>
    <w:uiPriority w:val="39"/>
    <w:unhideWhenUsed/>
    <w:rsid w:val="00CB699B"/>
    <w:pPr>
      <w:spacing w:after="57"/>
    </w:pPr>
  </w:style>
  <w:style w:type="paragraph" w:styleId="TOC2">
    <w:name w:val="toc 2"/>
    <w:basedOn w:val="Normal"/>
    <w:next w:val="Normal"/>
    <w:uiPriority w:val="39"/>
    <w:unhideWhenUsed/>
    <w:rsid w:val="00CB699B"/>
    <w:pPr>
      <w:spacing w:after="57"/>
      <w:ind w:left="283"/>
    </w:pPr>
  </w:style>
  <w:style w:type="paragraph" w:styleId="TOC3">
    <w:name w:val="toc 3"/>
    <w:basedOn w:val="Normal"/>
    <w:next w:val="Normal"/>
    <w:uiPriority w:val="39"/>
    <w:unhideWhenUsed/>
    <w:rsid w:val="00CB699B"/>
    <w:pPr>
      <w:spacing w:after="57"/>
      <w:ind w:left="567"/>
    </w:pPr>
  </w:style>
  <w:style w:type="paragraph" w:styleId="TOC4">
    <w:name w:val="toc 4"/>
    <w:basedOn w:val="Normal"/>
    <w:next w:val="Normal"/>
    <w:uiPriority w:val="39"/>
    <w:unhideWhenUsed/>
    <w:rsid w:val="00CB699B"/>
    <w:pPr>
      <w:spacing w:after="57"/>
      <w:ind w:left="850"/>
    </w:pPr>
  </w:style>
  <w:style w:type="paragraph" w:styleId="TOC5">
    <w:name w:val="toc 5"/>
    <w:basedOn w:val="Normal"/>
    <w:next w:val="Normal"/>
    <w:uiPriority w:val="39"/>
    <w:unhideWhenUsed/>
    <w:rsid w:val="00CB699B"/>
    <w:pPr>
      <w:spacing w:after="57"/>
      <w:ind w:left="1134"/>
    </w:pPr>
  </w:style>
  <w:style w:type="paragraph" w:styleId="TOC6">
    <w:name w:val="toc 6"/>
    <w:basedOn w:val="Normal"/>
    <w:next w:val="Normal"/>
    <w:uiPriority w:val="39"/>
    <w:unhideWhenUsed/>
    <w:rsid w:val="00CB699B"/>
    <w:pPr>
      <w:spacing w:after="57"/>
      <w:ind w:left="1417"/>
    </w:pPr>
  </w:style>
  <w:style w:type="paragraph" w:styleId="TOC7">
    <w:name w:val="toc 7"/>
    <w:basedOn w:val="Normal"/>
    <w:next w:val="Normal"/>
    <w:uiPriority w:val="39"/>
    <w:unhideWhenUsed/>
    <w:rsid w:val="00CB699B"/>
    <w:pPr>
      <w:spacing w:after="57"/>
      <w:ind w:left="1701"/>
    </w:pPr>
  </w:style>
  <w:style w:type="paragraph" w:styleId="TOC8">
    <w:name w:val="toc 8"/>
    <w:basedOn w:val="Normal"/>
    <w:next w:val="Normal"/>
    <w:uiPriority w:val="39"/>
    <w:unhideWhenUsed/>
    <w:rsid w:val="00CB699B"/>
    <w:pPr>
      <w:spacing w:after="57"/>
      <w:ind w:left="1984"/>
    </w:pPr>
  </w:style>
  <w:style w:type="paragraph" w:styleId="TOC9">
    <w:name w:val="toc 9"/>
    <w:basedOn w:val="Normal"/>
    <w:next w:val="Normal"/>
    <w:uiPriority w:val="39"/>
    <w:unhideWhenUsed/>
    <w:rsid w:val="00CB699B"/>
    <w:pPr>
      <w:spacing w:after="57"/>
      <w:ind w:left="2268"/>
    </w:pPr>
  </w:style>
  <w:style w:type="paragraph" w:styleId="TOCHeading">
    <w:name w:val="TOC Heading"/>
    <w:uiPriority w:val="39"/>
    <w:unhideWhenUsed/>
    <w:rsid w:val="00CB699B"/>
  </w:style>
  <w:style w:type="table" w:styleId="TableGrid">
    <w:name w:val="Table Grid"/>
    <w:basedOn w:val="TableNormal"/>
    <w:uiPriority w:val="59"/>
    <w:rsid w:val="00CB699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B699B"/>
    <w:pPr>
      <w:spacing w:after="0" w:line="240" w:lineRule="auto"/>
    </w:pPr>
    <w:rPr>
      <w:rFonts w:ascii="EUAlbertina" w:hAnsi="EUAlbertina" w:cs="EUAlbertina"/>
      <w:color w:val="000000"/>
      <w:sz w:val="24"/>
      <w:szCs w:val="24"/>
    </w:rPr>
  </w:style>
  <w:style w:type="character" w:styleId="Hyperlink">
    <w:name w:val="Hyperlink"/>
    <w:basedOn w:val="DefaultParagraphFont"/>
    <w:uiPriority w:val="99"/>
    <w:semiHidden/>
    <w:unhideWhenUsed/>
    <w:rsid w:val="00CB699B"/>
    <w:rPr>
      <w:color w:val="0000FF"/>
      <w:u w:val="single"/>
    </w:rPr>
  </w:style>
  <w:style w:type="paragraph" w:customStyle="1" w:styleId="CM1">
    <w:name w:val="CM1"/>
    <w:basedOn w:val="Default"/>
    <w:next w:val="Default"/>
    <w:uiPriority w:val="99"/>
    <w:rsid w:val="00CB699B"/>
    <w:rPr>
      <w:rFonts w:cs="Calibri"/>
      <w:color w:val="auto"/>
    </w:rPr>
  </w:style>
  <w:style w:type="paragraph" w:customStyle="1" w:styleId="CM4">
    <w:name w:val="CM4"/>
    <w:basedOn w:val="Default"/>
    <w:next w:val="Default"/>
    <w:uiPriority w:val="99"/>
    <w:rsid w:val="00CB699B"/>
    <w:rPr>
      <w:rFonts w:cs="Calibri"/>
      <w:color w:val="auto"/>
    </w:rPr>
  </w:style>
  <w:style w:type="character" w:customStyle="1" w:styleId="markedcontent">
    <w:name w:val="markedcontent"/>
    <w:basedOn w:val="DefaultParagraphFont"/>
    <w:rsid w:val="00CB699B"/>
  </w:style>
  <w:style w:type="character" w:customStyle="1" w:styleId="jlqj4b">
    <w:name w:val="jlqj4b"/>
    <w:basedOn w:val="DefaultParagraphFont"/>
    <w:rsid w:val="00CB699B"/>
  </w:style>
  <w:style w:type="paragraph" w:styleId="ListParagraph">
    <w:name w:val="List Paragraph"/>
    <w:basedOn w:val="Normal"/>
    <w:uiPriority w:val="34"/>
    <w:qFormat/>
    <w:rsid w:val="00CB699B"/>
    <w:pPr>
      <w:ind w:left="720"/>
      <w:contextualSpacing/>
    </w:pPr>
  </w:style>
  <w:style w:type="paragraph" w:styleId="CommentText">
    <w:name w:val="annotation text"/>
    <w:basedOn w:val="Normal"/>
    <w:link w:val="CommentTextChar"/>
    <w:uiPriority w:val="99"/>
    <w:semiHidden/>
    <w:unhideWhenUsed/>
    <w:rsid w:val="00CB699B"/>
    <w:pPr>
      <w:spacing w:line="240" w:lineRule="auto"/>
    </w:pPr>
    <w:rPr>
      <w:sz w:val="20"/>
      <w:szCs w:val="20"/>
    </w:rPr>
  </w:style>
  <w:style w:type="character" w:customStyle="1" w:styleId="CommentTextChar">
    <w:name w:val="Comment Text Char"/>
    <w:basedOn w:val="DefaultParagraphFont"/>
    <w:link w:val="CommentText"/>
    <w:uiPriority w:val="99"/>
    <w:semiHidden/>
    <w:rsid w:val="00CB699B"/>
    <w:rPr>
      <w:sz w:val="20"/>
      <w:szCs w:val="20"/>
    </w:rPr>
  </w:style>
  <w:style w:type="character" w:styleId="CommentReference">
    <w:name w:val="annotation reference"/>
    <w:basedOn w:val="DefaultParagraphFont"/>
    <w:uiPriority w:val="99"/>
    <w:semiHidden/>
    <w:unhideWhenUsed/>
    <w:rsid w:val="00CB699B"/>
    <w:rPr>
      <w:sz w:val="16"/>
      <w:szCs w:val="16"/>
    </w:rPr>
  </w:style>
  <w:style w:type="character" w:customStyle="1" w:styleId="docdata">
    <w:name w:val="docdata"/>
    <w:basedOn w:val="DefaultParagraphFont"/>
    <w:rsid w:val="00CB699B"/>
  </w:style>
  <w:style w:type="paragraph" w:styleId="Revision">
    <w:name w:val="Revision"/>
    <w:hidden/>
    <w:uiPriority w:val="99"/>
    <w:semiHidden/>
    <w:rsid w:val="004855F6"/>
    <w:pPr>
      <w:spacing w:after="0" w:line="240" w:lineRule="auto"/>
    </w:pPr>
  </w:style>
  <w:style w:type="paragraph" w:customStyle="1" w:styleId="placeholderparagraph">
    <w:name w:val="placeholder_paragraph"/>
    <w:qFormat/>
    <w:rPr>
      <w:rFonts w:ascii="Times New Roman" w:hAnsi="Times New Roman" w:cs="Times New Roman"/>
      <w:sz w:val="28"/>
    </w:rPr>
  </w:style>
  <w:style w:type="paragraph" w:styleId="CommentSubject">
    <w:name w:val="annotation subject"/>
    <w:basedOn w:val="CommentText"/>
    <w:next w:val="CommentText"/>
    <w:link w:val="CommentSubjectChar"/>
    <w:uiPriority w:val="99"/>
    <w:semiHidden/>
    <w:unhideWhenUsed/>
    <w:rsid w:val="00EA071E"/>
    <w:rPr>
      <w:b/>
      <w:bCs/>
    </w:rPr>
  </w:style>
  <w:style w:type="character" w:customStyle="1" w:styleId="CommentSubjectChar">
    <w:name w:val="Comment Subject Char"/>
    <w:basedOn w:val="CommentTextChar"/>
    <w:link w:val="CommentSubject"/>
    <w:uiPriority w:val="99"/>
    <w:semiHidden/>
    <w:rsid w:val="00EA071E"/>
    <w:rPr>
      <w:b/>
      <w:bCs/>
      <w:sz w:val="20"/>
      <w:szCs w:val="20"/>
    </w:rPr>
  </w:style>
  <w:style w:type="character" w:customStyle="1" w:styleId="rphighlightallclass">
    <w:name w:val="rphighlightallclass"/>
    <w:basedOn w:val="DefaultParagraphFont"/>
    <w:rsid w:val="000451A6"/>
  </w:style>
  <w:style w:type="character" w:customStyle="1" w:styleId="rpk1">
    <w:name w:val="_rp_k1"/>
    <w:basedOn w:val="DefaultParagraphFont"/>
    <w:rsid w:val="000451A6"/>
  </w:style>
  <w:style w:type="character" w:customStyle="1" w:styleId="pel">
    <w:name w:val="_pe_l"/>
    <w:basedOn w:val="DefaultParagraphFont"/>
    <w:rsid w:val="000451A6"/>
  </w:style>
  <w:style w:type="character" w:customStyle="1" w:styleId="bidi">
    <w:name w:val="bidi"/>
    <w:basedOn w:val="DefaultParagraphFont"/>
    <w:rsid w:val="000451A6"/>
  </w:style>
  <w:style w:type="character" w:customStyle="1" w:styleId="rpu1">
    <w:name w:val="_rp_u1"/>
    <w:basedOn w:val="DefaultParagraphFont"/>
    <w:rsid w:val="000451A6"/>
  </w:style>
  <w:style w:type="character" w:customStyle="1" w:styleId="allowtextselection">
    <w:name w:val="allowtextselection"/>
    <w:basedOn w:val="DefaultParagraphFont"/>
    <w:rsid w:val="000451A6"/>
  </w:style>
  <w:style w:type="character" w:customStyle="1" w:styleId="dbq">
    <w:name w:val="_db_q"/>
    <w:basedOn w:val="DefaultParagraphFont"/>
    <w:rsid w:val="000451A6"/>
  </w:style>
  <w:style w:type="paragraph" w:customStyle="1" w:styleId="xmsonormal">
    <w:name w:val="x_msonormal"/>
    <w:basedOn w:val="Normal"/>
    <w:rsid w:val="000451A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E8383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4D5056"/>
  </w:style>
  <w:style w:type="character" w:customStyle="1" w:styleId="eop">
    <w:name w:val="eop"/>
    <w:basedOn w:val="DefaultParagraphFont"/>
    <w:rsid w:val="004D5056"/>
  </w:style>
  <w:style w:type="paragraph" w:customStyle="1" w:styleId="oj-doc-ti">
    <w:name w:val="oj-doc-ti"/>
    <w:basedOn w:val="Normal"/>
    <w:rsid w:val="002D00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555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F17"/>
    <w:rPr>
      <w:rFonts w:ascii="Segoe UI" w:hAnsi="Segoe UI" w:cs="Segoe UI"/>
      <w:sz w:val="18"/>
      <w:szCs w:val="18"/>
    </w:rPr>
  </w:style>
  <w:style w:type="paragraph" w:customStyle="1" w:styleId="placeholderparagraph1">
    <w:name w:val="placeholder_paragraph1"/>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833684">
      <w:bodyDiv w:val="1"/>
      <w:marLeft w:val="0"/>
      <w:marRight w:val="0"/>
      <w:marTop w:val="0"/>
      <w:marBottom w:val="0"/>
      <w:divBdr>
        <w:top w:val="none" w:sz="0" w:space="0" w:color="auto"/>
        <w:left w:val="none" w:sz="0" w:space="0" w:color="auto"/>
        <w:bottom w:val="none" w:sz="0" w:space="0" w:color="auto"/>
        <w:right w:val="none" w:sz="0" w:space="0" w:color="auto"/>
      </w:divBdr>
    </w:div>
    <w:div w:id="1081023672">
      <w:bodyDiv w:val="1"/>
      <w:marLeft w:val="0"/>
      <w:marRight w:val="0"/>
      <w:marTop w:val="0"/>
      <w:marBottom w:val="0"/>
      <w:divBdr>
        <w:top w:val="none" w:sz="0" w:space="0" w:color="auto"/>
        <w:left w:val="none" w:sz="0" w:space="0" w:color="auto"/>
        <w:bottom w:val="none" w:sz="0" w:space="0" w:color="auto"/>
        <w:right w:val="none" w:sz="0" w:space="0" w:color="auto"/>
      </w:divBdr>
    </w:div>
    <w:div w:id="1106772922">
      <w:bodyDiv w:val="1"/>
      <w:marLeft w:val="0"/>
      <w:marRight w:val="0"/>
      <w:marTop w:val="0"/>
      <w:marBottom w:val="0"/>
      <w:divBdr>
        <w:top w:val="none" w:sz="0" w:space="0" w:color="auto"/>
        <w:left w:val="none" w:sz="0" w:space="0" w:color="auto"/>
        <w:bottom w:val="none" w:sz="0" w:space="0" w:color="auto"/>
        <w:right w:val="none" w:sz="0" w:space="0" w:color="auto"/>
      </w:divBdr>
    </w:div>
    <w:div w:id="1279028957">
      <w:bodyDiv w:val="1"/>
      <w:marLeft w:val="0"/>
      <w:marRight w:val="0"/>
      <w:marTop w:val="0"/>
      <w:marBottom w:val="0"/>
      <w:divBdr>
        <w:top w:val="none" w:sz="0" w:space="0" w:color="auto"/>
        <w:left w:val="none" w:sz="0" w:space="0" w:color="auto"/>
        <w:bottom w:val="none" w:sz="0" w:space="0" w:color="auto"/>
        <w:right w:val="none" w:sz="0" w:space="0" w:color="auto"/>
      </w:divBdr>
      <w:divsChild>
        <w:div w:id="1341348515">
          <w:marLeft w:val="0"/>
          <w:marRight w:val="0"/>
          <w:marTop w:val="0"/>
          <w:marBottom w:val="0"/>
          <w:divBdr>
            <w:top w:val="none" w:sz="0" w:space="0" w:color="auto"/>
            <w:left w:val="none" w:sz="0" w:space="0" w:color="auto"/>
            <w:bottom w:val="none" w:sz="0" w:space="0" w:color="auto"/>
            <w:right w:val="none" w:sz="0" w:space="0" w:color="auto"/>
          </w:divBdr>
        </w:div>
        <w:div w:id="1922372791">
          <w:marLeft w:val="0"/>
          <w:marRight w:val="0"/>
          <w:marTop w:val="0"/>
          <w:marBottom w:val="0"/>
          <w:divBdr>
            <w:top w:val="none" w:sz="0" w:space="0" w:color="auto"/>
            <w:left w:val="none" w:sz="0" w:space="0" w:color="auto"/>
            <w:bottom w:val="none" w:sz="0" w:space="0" w:color="auto"/>
            <w:right w:val="none" w:sz="0" w:space="0" w:color="auto"/>
          </w:divBdr>
        </w:div>
      </w:divsChild>
    </w:div>
    <w:div w:id="1693722045">
      <w:bodyDiv w:val="1"/>
      <w:marLeft w:val="0"/>
      <w:marRight w:val="0"/>
      <w:marTop w:val="0"/>
      <w:marBottom w:val="0"/>
      <w:divBdr>
        <w:top w:val="none" w:sz="0" w:space="0" w:color="auto"/>
        <w:left w:val="none" w:sz="0" w:space="0" w:color="auto"/>
        <w:bottom w:val="none" w:sz="0" w:space="0" w:color="auto"/>
        <w:right w:val="none" w:sz="0" w:space="0" w:color="auto"/>
      </w:divBdr>
    </w:div>
    <w:div w:id="1800613965">
      <w:bodyDiv w:val="1"/>
      <w:marLeft w:val="0"/>
      <w:marRight w:val="0"/>
      <w:marTop w:val="0"/>
      <w:marBottom w:val="0"/>
      <w:divBdr>
        <w:top w:val="none" w:sz="0" w:space="0" w:color="auto"/>
        <w:left w:val="none" w:sz="0" w:space="0" w:color="auto"/>
        <w:bottom w:val="none" w:sz="0" w:space="0" w:color="auto"/>
        <w:right w:val="none" w:sz="0" w:space="0" w:color="auto"/>
      </w:divBdr>
    </w:div>
    <w:div w:id="2046248566">
      <w:bodyDiv w:val="1"/>
      <w:marLeft w:val="0"/>
      <w:marRight w:val="0"/>
      <w:marTop w:val="0"/>
      <w:marBottom w:val="0"/>
      <w:divBdr>
        <w:top w:val="none" w:sz="0" w:space="0" w:color="auto"/>
        <w:left w:val="none" w:sz="0" w:space="0" w:color="auto"/>
        <w:bottom w:val="none" w:sz="0" w:space="0" w:color="auto"/>
        <w:right w:val="none" w:sz="0" w:space="0" w:color="auto"/>
      </w:divBdr>
    </w:div>
    <w:div w:id="2120636309">
      <w:bodyDiv w:val="1"/>
      <w:marLeft w:val="0"/>
      <w:marRight w:val="0"/>
      <w:marTop w:val="0"/>
      <w:marBottom w:val="0"/>
      <w:divBdr>
        <w:top w:val="none" w:sz="0" w:space="0" w:color="auto"/>
        <w:left w:val="none" w:sz="0" w:space="0" w:color="auto"/>
        <w:bottom w:val="none" w:sz="0" w:space="0" w:color="auto"/>
        <w:right w:val="none" w:sz="0" w:space="0" w:color="auto"/>
      </w:divBdr>
      <w:divsChild>
        <w:div w:id="1244877860">
          <w:marLeft w:val="0"/>
          <w:marRight w:val="0"/>
          <w:marTop w:val="0"/>
          <w:marBottom w:val="135"/>
          <w:divBdr>
            <w:top w:val="none" w:sz="0" w:space="0" w:color="auto"/>
            <w:left w:val="none" w:sz="0" w:space="0" w:color="auto"/>
            <w:bottom w:val="none" w:sz="0" w:space="0" w:color="auto"/>
            <w:right w:val="none" w:sz="0" w:space="0" w:color="auto"/>
          </w:divBdr>
          <w:divsChild>
            <w:div w:id="457914944">
              <w:marLeft w:val="0"/>
              <w:marRight w:val="0"/>
              <w:marTop w:val="0"/>
              <w:marBottom w:val="0"/>
              <w:divBdr>
                <w:top w:val="none" w:sz="0" w:space="0" w:color="auto"/>
                <w:left w:val="none" w:sz="0" w:space="0" w:color="auto"/>
                <w:bottom w:val="none" w:sz="0" w:space="0" w:color="auto"/>
                <w:right w:val="none" w:sz="0" w:space="0" w:color="auto"/>
              </w:divBdr>
              <w:divsChild>
                <w:div w:id="17460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943759">
          <w:marLeft w:val="0"/>
          <w:marRight w:val="0"/>
          <w:marTop w:val="0"/>
          <w:marBottom w:val="0"/>
          <w:divBdr>
            <w:top w:val="none" w:sz="0" w:space="0" w:color="auto"/>
            <w:left w:val="none" w:sz="0" w:space="0" w:color="auto"/>
            <w:bottom w:val="none" w:sz="0" w:space="0" w:color="auto"/>
            <w:right w:val="none" w:sz="0" w:space="0" w:color="auto"/>
          </w:divBdr>
          <w:divsChild>
            <w:div w:id="1638224971">
              <w:marLeft w:val="0"/>
              <w:marRight w:val="0"/>
              <w:marTop w:val="0"/>
              <w:marBottom w:val="0"/>
              <w:divBdr>
                <w:top w:val="none" w:sz="0" w:space="0" w:color="auto"/>
                <w:left w:val="none" w:sz="0" w:space="0" w:color="auto"/>
                <w:bottom w:val="none" w:sz="0" w:space="0" w:color="auto"/>
                <w:right w:val="none" w:sz="0" w:space="0" w:color="auto"/>
              </w:divBdr>
              <w:divsChild>
                <w:div w:id="928923683">
                  <w:marLeft w:val="0"/>
                  <w:marRight w:val="0"/>
                  <w:marTop w:val="0"/>
                  <w:marBottom w:val="60"/>
                  <w:divBdr>
                    <w:top w:val="none" w:sz="0" w:space="0" w:color="auto"/>
                    <w:left w:val="none" w:sz="0" w:space="0" w:color="auto"/>
                    <w:bottom w:val="none" w:sz="0" w:space="0" w:color="auto"/>
                    <w:right w:val="none" w:sz="0" w:space="0" w:color="auto"/>
                  </w:divBdr>
                  <w:divsChild>
                    <w:div w:id="1426078565">
                      <w:marLeft w:val="0"/>
                      <w:marRight w:val="0"/>
                      <w:marTop w:val="0"/>
                      <w:marBottom w:val="0"/>
                      <w:divBdr>
                        <w:top w:val="none" w:sz="0" w:space="0" w:color="auto"/>
                        <w:left w:val="none" w:sz="0" w:space="0" w:color="auto"/>
                        <w:bottom w:val="none" w:sz="0" w:space="0" w:color="auto"/>
                        <w:right w:val="none" w:sz="0" w:space="0" w:color="auto"/>
                      </w:divBdr>
                      <w:divsChild>
                        <w:div w:id="946817075">
                          <w:marLeft w:val="0"/>
                          <w:marRight w:val="0"/>
                          <w:marTop w:val="0"/>
                          <w:marBottom w:val="0"/>
                          <w:divBdr>
                            <w:top w:val="none" w:sz="0" w:space="0" w:color="auto"/>
                            <w:left w:val="none" w:sz="0" w:space="0" w:color="auto"/>
                            <w:bottom w:val="none" w:sz="0" w:space="0" w:color="auto"/>
                            <w:right w:val="none" w:sz="0" w:space="0" w:color="auto"/>
                          </w:divBdr>
                          <w:divsChild>
                            <w:div w:id="940725048">
                              <w:marLeft w:val="0"/>
                              <w:marRight w:val="0"/>
                              <w:marTop w:val="0"/>
                              <w:marBottom w:val="30"/>
                              <w:divBdr>
                                <w:top w:val="none" w:sz="0" w:space="0" w:color="auto"/>
                                <w:left w:val="none" w:sz="0" w:space="0" w:color="auto"/>
                                <w:bottom w:val="none" w:sz="0" w:space="0" w:color="auto"/>
                                <w:right w:val="none" w:sz="0" w:space="0" w:color="auto"/>
                              </w:divBdr>
                              <w:divsChild>
                                <w:div w:id="157045103">
                                  <w:marLeft w:val="0"/>
                                  <w:marRight w:val="0"/>
                                  <w:marTop w:val="0"/>
                                  <w:marBottom w:val="0"/>
                                  <w:divBdr>
                                    <w:top w:val="none" w:sz="0" w:space="0" w:color="auto"/>
                                    <w:left w:val="none" w:sz="0" w:space="0" w:color="auto"/>
                                    <w:bottom w:val="none" w:sz="0" w:space="0" w:color="auto"/>
                                    <w:right w:val="none" w:sz="0" w:space="0" w:color="auto"/>
                                  </w:divBdr>
                                  <w:divsChild>
                                    <w:div w:id="1161652448">
                                      <w:marLeft w:val="0"/>
                                      <w:marRight w:val="0"/>
                                      <w:marTop w:val="0"/>
                                      <w:marBottom w:val="0"/>
                                      <w:divBdr>
                                        <w:top w:val="none" w:sz="0" w:space="0" w:color="auto"/>
                                        <w:left w:val="none" w:sz="0" w:space="0" w:color="auto"/>
                                        <w:bottom w:val="none" w:sz="0" w:space="0" w:color="auto"/>
                                        <w:right w:val="none" w:sz="0" w:space="0" w:color="auto"/>
                                      </w:divBdr>
                                      <w:divsChild>
                                        <w:div w:id="270402749">
                                          <w:marLeft w:val="0"/>
                                          <w:marRight w:val="0"/>
                                          <w:marTop w:val="0"/>
                                          <w:marBottom w:val="0"/>
                                          <w:divBdr>
                                            <w:top w:val="none" w:sz="0" w:space="0" w:color="auto"/>
                                            <w:left w:val="none" w:sz="0" w:space="0" w:color="auto"/>
                                            <w:bottom w:val="none" w:sz="0" w:space="0" w:color="auto"/>
                                            <w:right w:val="none" w:sz="0" w:space="0" w:color="auto"/>
                                          </w:divBdr>
                                          <w:divsChild>
                                            <w:div w:id="95828846">
                                              <w:marLeft w:val="0"/>
                                              <w:marRight w:val="150"/>
                                              <w:marTop w:val="150"/>
                                              <w:marBottom w:val="0"/>
                                              <w:divBdr>
                                                <w:top w:val="none" w:sz="0" w:space="0" w:color="auto"/>
                                                <w:left w:val="none" w:sz="0" w:space="0" w:color="auto"/>
                                                <w:bottom w:val="none" w:sz="0" w:space="0" w:color="auto"/>
                                                <w:right w:val="none" w:sz="0" w:space="0" w:color="auto"/>
                                              </w:divBdr>
                                              <w:divsChild>
                                                <w:div w:id="55856861">
                                                  <w:marLeft w:val="0"/>
                                                  <w:marRight w:val="0"/>
                                                  <w:marTop w:val="0"/>
                                                  <w:marBottom w:val="0"/>
                                                  <w:divBdr>
                                                    <w:top w:val="none" w:sz="0" w:space="0" w:color="auto"/>
                                                    <w:left w:val="none" w:sz="0" w:space="0" w:color="auto"/>
                                                    <w:bottom w:val="none" w:sz="0" w:space="0" w:color="auto"/>
                                                    <w:right w:val="none" w:sz="0" w:space="0" w:color="auto"/>
                                                  </w:divBdr>
                                                  <w:divsChild>
                                                    <w:div w:id="1996520357">
                                                      <w:marLeft w:val="0"/>
                                                      <w:marRight w:val="0"/>
                                                      <w:marTop w:val="0"/>
                                                      <w:marBottom w:val="0"/>
                                                      <w:divBdr>
                                                        <w:top w:val="none" w:sz="0" w:space="0" w:color="auto"/>
                                                        <w:left w:val="none" w:sz="0" w:space="0" w:color="auto"/>
                                                        <w:bottom w:val="none" w:sz="0" w:space="0" w:color="auto"/>
                                                        <w:right w:val="none" w:sz="0" w:space="0" w:color="auto"/>
                                                      </w:divBdr>
                                                      <w:divsChild>
                                                        <w:div w:id="520510056">
                                                          <w:marLeft w:val="0"/>
                                                          <w:marRight w:val="0"/>
                                                          <w:marTop w:val="0"/>
                                                          <w:marBottom w:val="0"/>
                                                          <w:divBdr>
                                                            <w:top w:val="none" w:sz="0" w:space="0" w:color="auto"/>
                                                            <w:left w:val="none" w:sz="0" w:space="0" w:color="auto"/>
                                                            <w:bottom w:val="none" w:sz="0" w:space="0" w:color="auto"/>
                                                            <w:right w:val="none" w:sz="0" w:space="0" w:color="auto"/>
                                                          </w:divBdr>
                                                          <w:divsChild>
                                                            <w:div w:id="2044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632345">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21830890">
                                              <w:marLeft w:val="0"/>
                                              <w:marRight w:val="0"/>
                                              <w:marTop w:val="0"/>
                                              <w:marBottom w:val="0"/>
                                              <w:divBdr>
                                                <w:top w:val="none" w:sz="0" w:space="0" w:color="auto"/>
                                                <w:left w:val="none" w:sz="0" w:space="0" w:color="auto"/>
                                                <w:bottom w:val="none" w:sz="0" w:space="0" w:color="auto"/>
                                                <w:right w:val="none" w:sz="0" w:space="0" w:color="auto"/>
                                              </w:divBdr>
                                              <w:divsChild>
                                                <w:div w:id="301272830">
                                                  <w:marLeft w:val="0"/>
                                                  <w:marRight w:val="0"/>
                                                  <w:marTop w:val="0"/>
                                                  <w:marBottom w:val="0"/>
                                                  <w:divBdr>
                                                    <w:top w:val="none" w:sz="0" w:space="0" w:color="auto"/>
                                                    <w:left w:val="none" w:sz="0" w:space="0" w:color="auto"/>
                                                    <w:bottom w:val="none" w:sz="0" w:space="0" w:color="auto"/>
                                                    <w:right w:val="none" w:sz="0" w:space="0" w:color="auto"/>
                                                  </w:divBdr>
                                                  <w:divsChild>
                                                    <w:div w:id="1358896714">
                                                      <w:marLeft w:val="0"/>
                                                      <w:marRight w:val="0"/>
                                                      <w:marTop w:val="0"/>
                                                      <w:marBottom w:val="75"/>
                                                      <w:divBdr>
                                                        <w:top w:val="none" w:sz="0" w:space="0" w:color="auto"/>
                                                        <w:left w:val="none" w:sz="0" w:space="0" w:color="auto"/>
                                                        <w:bottom w:val="none" w:sz="0" w:space="0" w:color="auto"/>
                                                        <w:right w:val="none" w:sz="0" w:space="0" w:color="auto"/>
                                                      </w:divBdr>
                                                      <w:divsChild>
                                                        <w:div w:id="19745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244342">
                                          <w:marLeft w:val="0"/>
                                          <w:marRight w:val="0"/>
                                          <w:marTop w:val="0"/>
                                          <w:marBottom w:val="0"/>
                                          <w:divBdr>
                                            <w:top w:val="none" w:sz="0" w:space="0" w:color="auto"/>
                                            <w:left w:val="none" w:sz="0" w:space="0" w:color="auto"/>
                                            <w:bottom w:val="none" w:sz="0" w:space="0" w:color="auto"/>
                                            <w:right w:val="none" w:sz="0" w:space="0" w:color="auto"/>
                                          </w:divBdr>
                                          <w:divsChild>
                                            <w:div w:id="1438519187">
                                              <w:marLeft w:val="0"/>
                                              <w:marRight w:val="0"/>
                                              <w:marTop w:val="0"/>
                                              <w:marBottom w:val="0"/>
                                              <w:divBdr>
                                                <w:top w:val="none" w:sz="0" w:space="0" w:color="auto"/>
                                                <w:left w:val="none" w:sz="0" w:space="0" w:color="auto"/>
                                                <w:bottom w:val="none" w:sz="0" w:space="0" w:color="auto"/>
                                                <w:right w:val="none" w:sz="0" w:space="0" w:color="auto"/>
                                              </w:divBdr>
                                              <w:divsChild>
                                                <w:div w:id="115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2507">
                                          <w:marLeft w:val="0"/>
                                          <w:marRight w:val="0"/>
                                          <w:marTop w:val="0"/>
                                          <w:marBottom w:val="0"/>
                                          <w:divBdr>
                                            <w:top w:val="none" w:sz="0" w:space="0" w:color="auto"/>
                                            <w:left w:val="none" w:sz="0" w:space="0" w:color="auto"/>
                                            <w:bottom w:val="none" w:sz="0" w:space="0" w:color="auto"/>
                                            <w:right w:val="none" w:sz="0" w:space="0" w:color="auto"/>
                                          </w:divBdr>
                                          <w:divsChild>
                                            <w:div w:id="2011638737">
                                              <w:marLeft w:val="0"/>
                                              <w:marRight w:val="0"/>
                                              <w:marTop w:val="0"/>
                                              <w:marBottom w:val="0"/>
                                              <w:divBdr>
                                                <w:top w:val="none" w:sz="0" w:space="0" w:color="auto"/>
                                                <w:left w:val="none" w:sz="0" w:space="0" w:color="auto"/>
                                                <w:bottom w:val="none" w:sz="0" w:space="0" w:color="auto"/>
                                                <w:right w:val="none" w:sz="0" w:space="0" w:color="auto"/>
                                              </w:divBdr>
                                              <w:divsChild>
                                                <w:div w:id="419788806">
                                                  <w:marLeft w:val="0"/>
                                                  <w:marRight w:val="0"/>
                                                  <w:marTop w:val="0"/>
                                                  <w:marBottom w:val="0"/>
                                                  <w:divBdr>
                                                    <w:top w:val="none" w:sz="0" w:space="0" w:color="auto"/>
                                                    <w:left w:val="none" w:sz="0" w:space="0" w:color="auto"/>
                                                    <w:bottom w:val="none" w:sz="0" w:space="0" w:color="auto"/>
                                                    <w:right w:val="none" w:sz="0" w:space="0" w:color="auto"/>
                                                  </w:divBdr>
                                                  <w:divsChild>
                                                    <w:div w:id="156383690">
                                                      <w:marLeft w:val="0"/>
                                                      <w:marRight w:val="0"/>
                                                      <w:marTop w:val="0"/>
                                                      <w:marBottom w:val="0"/>
                                                      <w:divBdr>
                                                        <w:top w:val="none" w:sz="0" w:space="0" w:color="auto"/>
                                                        <w:left w:val="none" w:sz="0" w:space="0" w:color="auto"/>
                                                        <w:bottom w:val="none" w:sz="0" w:space="0" w:color="auto"/>
                                                        <w:right w:val="none" w:sz="0" w:space="0" w:color="auto"/>
                                                      </w:divBdr>
                                                    </w:div>
                                                  </w:divsChild>
                                                </w:div>
                                                <w:div w:id="1200358904">
                                                  <w:marLeft w:val="0"/>
                                                  <w:marRight w:val="0"/>
                                                  <w:marTop w:val="0"/>
                                                  <w:marBottom w:val="0"/>
                                                  <w:divBdr>
                                                    <w:top w:val="none" w:sz="0" w:space="0" w:color="auto"/>
                                                    <w:left w:val="none" w:sz="0" w:space="0" w:color="auto"/>
                                                    <w:bottom w:val="none" w:sz="0" w:space="0" w:color="auto"/>
                                                    <w:right w:val="none" w:sz="0" w:space="0" w:color="auto"/>
                                                  </w:divBdr>
                                                  <w:divsChild>
                                                    <w:div w:id="1502311187">
                                                      <w:marLeft w:val="0"/>
                                                      <w:marRight w:val="0"/>
                                                      <w:marTop w:val="0"/>
                                                      <w:marBottom w:val="0"/>
                                                      <w:divBdr>
                                                        <w:top w:val="none" w:sz="0" w:space="0" w:color="auto"/>
                                                        <w:left w:val="none" w:sz="0" w:space="0" w:color="auto"/>
                                                        <w:bottom w:val="none" w:sz="0" w:space="0" w:color="auto"/>
                                                        <w:right w:val="none" w:sz="0" w:space="0" w:color="auto"/>
                                                      </w:divBdr>
                                                      <w:divsChild>
                                                        <w:div w:id="1438066019">
                                                          <w:marLeft w:val="0"/>
                                                          <w:marRight w:val="0"/>
                                                          <w:marTop w:val="0"/>
                                                          <w:marBottom w:val="0"/>
                                                          <w:divBdr>
                                                            <w:top w:val="none" w:sz="0" w:space="0" w:color="auto"/>
                                                            <w:left w:val="none" w:sz="0" w:space="0" w:color="auto"/>
                                                            <w:bottom w:val="none" w:sz="0" w:space="0" w:color="auto"/>
                                                            <w:right w:val="none" w:sz="0" w:space="0" w:color="auto"/>
                                                          </w:divBdr>
                                                          <w:divsChild>
                                                            <w:div w:id="1989509098">
                                                              <w:marLeft w:val="0"/>
                                                              <w:marRight w:val="0"/>
                                                              <w:marTop w:val="0"/>
                                                              <w:marBottom w:val="0"/>
                                                              <w:divBdr>
                                                                <w:top w:val="none" w:sz="0" w:space="0" w:color="auto"/>
                                                                <w:left w:val="none" w:sz="0" w:space="0" w:color="auto"/>
                                                                <w:bottom w:val="none" w:sz="0" w:space="0" w:color="auto"/>
                                                                <w:right w:val="none" w:sz="0" w:space="0" w:color="auto"/>
                                                              </w:divBdr>
                                                              <w:divsChild>
                                                                <w:div w:id="1766877358">
                                                                  <w:marLeft w:val="0"/>
                                                                  <w:marRight w:val="0"/>
                                                                  <w:marTop w:val="0"/>
                                                                  <w:marBottom w:val="0"/>
                                                                  <w:divBdr>
                                                                    <w:top w:val="none" w:sz="0" w:space="0" w:color="auto"/>
                                                                    <w:left w:val="none" w:sz="0" w:space="0" w:color="auto"/>
                                                                    <w:bottom w:val="none" w:sz="0" w:space="0" w:color="auto"/>
                                                                    <w:right w:val="none" w:sz="0" w:space="0" w:color="auto"/>
                                                                  </w:divBdr>
                                                                  <w:divsChild>
                                                                    <w:div w:id="419521526">
                                                                      <w:marLeft w:val="0"/>
                                                                      <w:marRight w:val="0"/>
                                                                      <w:marTop w:val="0"/>
                                                                      <w:marBottom w:val="0"/>
                                                                      <w:divBdr>
                                                                        <w:top w:val="none" w:sz="0" w:space="0" w:color="auto"/>
                                                                        <w:left w:val="none" w:sz="0" w:space="0" w:color="auto"/>
                                                                        <w:bottom w:val="none" w:sz="0" w:space="0" w:color="auto"/>
                                                                        <w:right w:val="none" w:sz="0" w:space="0" w:color="auto"/>
                                                                      </w:divBdr>
                                                                      <w:divsChild>
                                                                        <w:div w:id="1744328387">
                                                                          <w:marLeft w:val="0"/>
                                                                          <w:marRight w:val="0"/>
                                                                          <w:marTop w:val="0"/>
                                                                          <w:marBottom w:val="0"/>
                                                                          <w:divBdr>
                                                                            <w:top w:val="none" w:sz="0" w:space="0" w:color="auto"/>
                                                                            <w:left w:val="none" w:sz="0" w:space="0" w:color="auto"/>
                                                                            <w:bottom w:val="none" w:sz="0" w:space="0" w:color="auto"/>
                                                                            <w:right w:val="none" w:sz="0" w:space="0" w:color="auto"/>
                                                                          </w:divBdr>
                                                                          <w:divsChild>
                                                                            <w:div w:id="6853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274148">
                          <w:marLeft w:val="0"/>
                          <w:marRight w:val="0"/>
                          <w:marTop w:val="0"/>
                          <w:marBottom w:val="0"/>
                          <w:divBdr>
                            <w:top w:val="none" w:sz="0" w:space="0" w:color="auto"/>
                            <w:left w:val="none" w:sz="0" w:space="0" w:color="auto"/>
                            <w:bottom w:val="none" w:sz="0" w:space="0" w:color="auto"/>
                            <w:right w:val="none" w:sz="0" w:space="0" w:color="auto"/>
                          </w:divBdr>
                          <w:divsChild>
                            <w:div w:id="1832527223">
                              <w:marLeft w:val="0"/>
                              <w:marRight w:val="0"/>
                              <w:marTop w:val="0"/>
                              <w:marBottom w:val="0"/>
                              <w:divBdr>
                                <w:top w:val="none" w:sz="0" w:space="0" w:color="auto"/>
                                <w:left w:val="none" w:sz="0" w:space="0" w:color="auto"/>
                                <w:bottom w:val="none" w:sz="0" w:space="0" w:color="auto"/>
                                <w:right w:val="none" w:sz="0" w:space="0" w:color="auto"/>
                              </w:divBdr>
                              <w:divsChild>
                                <w:div w:id="150174935">
                                  <w:marLeft w:val="0"/>
                                  <w:marRight w:val="0"/>
                                  <w:marTop w:val="105"/>
                                  <w:marBottom w:val="0"/>
                                  <w:divBdr>
                                    <w:top w:val="none" w:sz="0" w:space="0" w:color="auto"/>
                                    <w:left w:val="none" w:sz="0" w:space="0" w:color="auto"/>
                                    <w:bottom w:val="none" w:sz="0" w:space="0" w:color="auto"/>
                                    <w:right w:val="none" w:sz="0" w:space="0" w:color="auto"/>
                                  </w:divBdr>
                                  <w:divsChild>
                                    <w:div w:id="1994722635">
                                      <w:marLeft w:val="0"/>
                                      <w:marRight w:val="0"/>
                                      <w:marTop w:val="0"/>
                                      <w:marBottom w:val="0"/>
                                      <w:divBdr>
                                        <w:top w:val="none" w:sz="0" w:space="0" w:color="auto"/>
                                        <w:left w:val="none" w:sz="0" w:space="0" w:color="auto"/>
                                        <w:bottom w:val="none" w:sz="0" w:space="0" w:color="auto"/>
                                        <w:right w:val="none" w:sz="0" w:space="0" w:color="auto"/>
                                      </w:divBdr>
                                      <w:divsChild>
                                        <w:div w:id="1768302905">
                                          <w:marLeft w:val="0"/>
                                          <w:marRight w:val="0"/>
                                          <w:marTop w:val="0"/>
                                          <w:marBottom w:val="0"/>
                                          <w:divBdr>
                                            <w:top w:val="none" w:sz="0" w:space="0" w:color="auto"/>
                                            <w:left w:val="none" w:sz="0" w:space="0" w:color="auto"/>
                                            <w:bottom w:val="none" w:sz="0" w:space="0" w:color="auto"/>
                                            <w:right w:val="none" w:sz="0" w:space="0" w:color="auto"/>
                                          </w:divBdr>
                                          <w:divsChild>
                                            <w:div w:id="430585022">
                                              <w:marLeft w:val="0"/>
                                              <w:marRight w:val="0"/>
                                              <w:marTop w:val="0"/>
                                              <w:marBottom w:val="0"/>
                                              <w:divBdr>
                                                <w:top w:val="none" w:sz="0" w:space="0" w:color="auto"/>
                                                <w:left w:val="none" w:sz="0" w:space="0" w:color="auto"/>
                                                <w:bottom w:val="none" w:sz="0" w:space="0" w:color="auto"/>
                                                <w:right w:val="none" w:sz="0" w:space="0" w:color="auto"/>
                                              </w:divBdr>
                                              <w:divsChild>
                                                <w:div w:id="1207789653">
                                                  <w:marLeft w:val="0"/>
                                                  <w:marRight w:val="0"/>
                                                  <w:marTop w:val="150"/>
                                                  <w:marBottom w:val="150"/>
                                                  <w:divBdr>
                                                    <w:top w:val="none" w:sz="0" w:space="0" w:color="auto"/>
                                                    <w:left w:val="none" w:sz="0" w:space="0" w:color="auto"/>
                                                    <w:bottom w:val="none" w:sz="0" w:space="0" w:color="auto"/>
                                                    <w:right w:val="none" w:sz="0" w:space="0" w:color="auto"/>
                                                  </w:divBdr>
                                                  <w:divsChild>
                                                    <w:div w:id="4481459">
                                                      <w:marLeft w:val="0"/>
                                                      <w:marRight w:val="0"/>
                                                      <w:marTop w:val="0"/>
                                                      <w:marBottom w:val="0"/>
                                                      <w:divBdr>
                                                        <w:top w:val="none" w:sz="0" w:space="0" w:color="auto"/>
                                                        <w:left w:val="none" w:sz="0" w:space="0" w:color="auto"/>
                                                        <w:bottom w:val="none" w:sz="0" w:space="0" w:color="auto"/>
                                                        <w:right w:val="none" w:sz="0" w:space="0" w:color="auto"/>
                                                      </w:divBdr>
                                                      <w:divsChild>
                                                        <w:div w:id="193659494">
                                                          <w:marLeft w:val="300"/>
                                                          <w:marRight w:val="0"/>
                                                          <w:marTop w:val="0"/>
                                                          <w:marBottom w:val="0"/>
                                                          <w:divBdr>
                                                            <w:top w:val="none" w:sz="0" w:space="0" w:color="auto"/>
                                                            <w:left w:val="none" w:sz="0" w:space="0" w:color="auto"/>
                                                            <w:bottom w:val="none" w:sz="0" w:space="0" w:color="auto"/>
                                                            <w:right w:val="none" w:sz="0" w:space="0" w:color="auto"/>
                                                          </w:divBdr>
                                                          <w:divsChild>
                                                            <w:div w:id="153171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3737497">
                  <w:marLeft w:val="0"/>
                  <w:marRight w:val="0"/>
                  <w:marTop w:val="60"/>
                  <w:marBottom w:val="0"/>
                  <w:divBdr>
                    <w:top w:val="none" w:sz="0" w:space="0" w:color="auto"/>
                    <w:left w:val="none" w:sz="0" w:space="0" w:color="auto"/>
                    <w:bottom w:val="none" w:sz="0" w:space="0" w:color="auto"/>
                    <w:right w:val="none" w:sz="0" w:space="0" w:color="auto"/>
                  </w:divBdr>
                  <w:divsChild>
                    <w:div w:id="597638888">
                      <w:marLeft w:val="0"/>
                      <w:marRight w:val="0"/>
                      <w:marTop w:val="0"/>
                      <w:marBottom w:val="0"/>
                      <w:divBdr>
                        <w:top w:val="none" w:sz="0" w:space="0" w:color="auto"/>
                        <w:left w:val="none" w:sz="0" w:space="0" w:color="auto"/>
                        <w:bottom w:val="none" w:sz="0" w:space="0" w:color="auto"/>
                        <w:right w:val="none" w:sz="0" w:space="0" w:color="auto"/>
                      </w:divBdr>
                      <w:divsChild>
                        <w:div w:id="547374319">
                          <w:marLeft w:val="0"/>
                          <w:marRight w:val="0"/>
                          <w:marTop w:val="0"/>
                          <w:marBottom w:val="0"/>
                          <w:divBdr>
                            <w:top w:val="none" w:sz="0" w:space="0" w:color="auto"/>
                            <w:left w:val="none" w:sz="0" w:space="0" w:color="auto"/>
                            <w:bottom w:val="none" w:sz="0" w:space="0" w:color="auto"/>
                            <w:right w:val="none" w:sz="0" w:space="0" w:color="auto"/>
                          </w:divBdr>
                          <w:divsChild>
                            <w:div w:id="209853042">
                              <w:marLeft w:val="0"/>
                              <w:marRight w:val="0"/>
                              <w:marTop w:val="0"/>
                              <w:marBottom w:val="0"/>
                              <w:divBdr>
                                <w:top w:val="none" w:sz="0" w:space="0" w:color="auto"/>
                                <w:left w:val="none" w:sz="0" w:space="0" w:color="auto"/>
                                <w:bottom w:val="none" w:sz="0" w:space="0" w:color="auto"/>
                                <w:right w:val="none" w:sz="0" w:space="0" w:color="auto"/>
                              </w:divBdr>
                              <w:divsChild>
                                <w:div w:id="895968583">
                                  <w:marLeft w:val="0"/>
                                  <w:marRight w:val="0"/>
                                  <w:marTop w:val="0"/>
                                  <w:marBottom w:val="0"/>
                                  <w:divBdr>
                                    <w:top w:val="none" w:sz="0" w:space="0" w:color="auto"/>
                                    <w:left w:val="none" w:sz="0" w:space="0" w:color="auto"/>
                                    <w:bottom w:val="none" w:sz="0" w:space="0" w:color="auto"/>
                                    <w:right w:val="none" w:sz="0" w:space="0" w:color="auto"/>
                                  </w:divBdr>
                                  <w:divsChild>
                                    <w:div w:id="736241051">
                                      <w:marLeft w:val="0"/>
                                      <w:marRight w:val="0"/>
                                      <w:marTop w:val="0"/>
                                      <w:marBottom w:val="0"/>
                                      <w:divBdr>
                                        <w:top w:val="none" w:sz="0" w:space="0" w:color="auto"/>
                                        <w:left w:val="none" w:sz="0" w:space="0" w:color="auto"/>
                                        <w:bottom w:val="none" w:sz="0" w:space="0" w:color="auto"/>
                                        <w:right w:val="none" w:sz="0" w:space="0" w:color="auto"/>
                                      </w:divBdr>
                                      <w:divsChild>
                                        <w:div w:id="2059939257">
                                          <w:marLeft w:val="0"/>
                                          <w:marRight w:val="0"/>
                                          <w:marTop w:val="0"/>
                                          <w:marBottom w:val="0"/>
                                          <w:divBdr>
                                            <w:top w:val="none" w:sz="0" w:space="0" w:color="auto"/>
                                            <w:left w:val="none" w:sz="0" w:space="0" w:color="auto"/>
                                            <w:bottom w:val="none" w:sz="0" w:space="0" w:color="auto"/>
                                            <w:right w:val="none" w:sz="0" w:space="0" w:color="auto"/>
                                          </w:divBdr>
                                          <w:divsChild>
                                            <w:div w:id="1885946144">
                                              <w:marLeft w:val="0"/>
                                              <w:marRight w:val="0"/>
                                              <w:marTop w:val="0"/>
                                              <w:marBottom w:val="0"/>
                                              <w:divBdr>
                                                <w:top w:val="none" w:sz="0" w:space="0" w:color="auto"/>
                                                <w:left w:val="none" w:sz="0" w:space="0" w:color="auto"/>
                                                <w:bottom w:val="none" w:sz="0" w:space="0" w:color="auto"/>
                                                <w:right w:val="none" w:sz="0" w:space="0" w:color="auto"/>
                                              </w:divBdr>
                                              <w:divsChild>
                                                <w:div w:id="59867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32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dec/2005/50/oj/?locale=LV" TargetMode="External"/><Relationship Id="rId18" Type="http://schemas.openxmlformats.org/officeDocument/2006/relationships/hyperlink" Target="http://eur-lex.europa.eu/eli/dec/2006/771/oj/?locale=LV" TargetMode="External"/><Relationship Id="rId26" Type="http://schemas.openxmlformats.org/officeDocument/2006/relationships/hyperlink" Target="http://eur-lex.europa.eu/eli/dec/2006/771/oj/?locale=LV" TargetMode="External"/><Relationship Id="rId39" Type="http://schemas.openxmlformats.org/officeDocument/2006/relationships/hyperlink" Target="http://eur-lex.europa.eu/eli/dec/2017/1483/oj/?locale=LV" TargetMode="External"/><Relationship Id="rId3" Type="http://schemas.openxmlformats.org/officeDocument/2006/relationships/customXml" Target="../customXml/item3.xml"/><Relationship Id="rId21" Type="http://schemas.openxmlformats.org/officeDocument/2006/relationships/hyperlink" Target="http://eur-lex.europa.eu/eli/dec/2010/368/oj/?locale=LV" TargetMode="External"/><Relationship Id="rId34" Type="http://schemas.openxmlformats.org/officeDocument/2006/relationships/hyperlink" Target="http://eur-lex.europa.eu/eli/dec/2008/411/oj/?locale=LV" TargetMode="External"/><Relationship Id="rId42" Type="http://schemas.openxmlformats.org/officeDocument/2006/relationships/hyperlink" Target="http://eur-lex.europa.eu/eli/dec/2008/411/oj/?locale=LV" TargetMode="External"/><Relationship Id="rId47"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eur-lex.europa.eu/eli/dec/2004/545/oj/?locale=LV" TargetMode="External"/><Relationship Id="rId17" Type="http://schemas.openxmlformats.org/officeDocument/2006/relationships/hyperlink" Target="http://eur-lex.europa.eu/eli/dec/2008/432/oj/?locale=LV" TargetMode="External"/><Relationship Id="rId25" Type="http://schemas.openxmlformats.org/officeDocument/2006/relationships/hyperlink" Target="http://eur-lex.europa.eu/eli/dec/2011/829/oj/?locale=LV" TargetMode="External"/><Relationship Id="rId33" Type="http://schemas.openxmlformats.org/officeDocument/2006/relationships/hyperlink" Target="http://eur-lex.europa.eu/eli/dec/2014/276/oj/?locale=LV" TargetMode="External"/><Relationship Id="rId38" Type="http://schemas.openxmlformats.org/officeDocument/2006/relationships/hyperlink" Target="http://eur-lex.europa.eu/eli/dec/2010/166/oj/?locale=LV" TargetMode="External"/><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lex.europa.eu/eli/dec/2008/411/oj/?locale=LV" TargetMode="External"/><Relationship Id="rId20" Type="http://schemas.openxmlformats.org/officeDocument/2006/relationships/hyperlink" Target="http://eur-lex.europa.eu/eli/dec/2010/267/oj/?locale=LV" TargetMode="External"/><Relationship Id="rId29" Type="http://schemas.openxmlformats.org/officeDocument/2006/relationships/hyperlink" Target="http://eur-lex.europa.eu/eli/dec/2008/294/oj/?locale=LV" TargetMode="External"/><Relationship Id="rId41" Type="http://schemas.openxmlformats.org/officeDocument/2006/relationships/hyperlink" Target="http://eur-lex.europa.eu/eli/dec/2018/1538/oj/?locale=L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eur-lex.europa.eu/eli/dec/2005/50/oj/?locale=LV" TargetMode="External"/><Relationship Id="rId32" Type="http://schemas.openxmlformats.org/officeDocument/2006/relationships/hyperlink" Target="http://eur-lex.europa.eu/eli/dec/2005/928/oj/?locale=LV" TargetMode="External"/><Relationship Id="rId37" Type="http://schemas.openxmlformats.org/officeDocument/2006/relationships/hyperlink" Target="http://eur-lex.europa.eu/eli/dec/2013/654/oj/?locale=LV" TargetMode="External"/><Relationship Id="rId40" Type="http://schemas.openxmlformats.org/officeDocument/2006/relationships/hyperlink" Target="http://eur-lex.europa.eu/eli/dec/2005/50/oj/?locale=LV"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eur-lex.europa.eu/eli/dec/2008/294/oj/?locale=LV" TargetMode="External"/><Relationship Id="rId23" Type="http://schemas.openxmlformats.org/officeDocument/2006/relationships/hyperlink" Target="http://eur-lex.europa.eu/eli/dec/2011/485/oj/?locale=LV" TargetMode="External"/><Relationship Id="rId28" Type="http://schemas.openxmlformats.org/officeDocument/2006/relationships/hyperlink" Target="http://eur-lex.europa.eu/eli/dec/2013/654/oj/?locale=LV" TargetMode="External"/><Relationship Id="rId36" Type="http://schemas.openxmlformats.org/officeDocument/2006/relationships/hyperlink" Target="http://eur-lex.europa.eu/eli/dec/2008/294/oj/?locale=LV" TargetMode="External"/><Relationship Id="rId49"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eur-lex.europa.eu/eli/dec/626/2008/oj/?locale=LV" TargetMode="External"/><Relationship Id="rId31" Type="http://schemas.openxmlformats.org/officeDocument/2006/relationships/hyperlink" Target="http://eur-lex.europa.eu/eli/dec/2006/771/oj/?locale=LV"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ur-lex.europa.eu/eli/dec/2006/771/oj/?locale=LV" TargetMode="External"/><Relationship Id="rId22" Type="http://schemas.openxmlformats.org/officeDocument/2006/relationships/hyperlink" Target="http://eur-lex.europa.eu/eli/dec/2006/771/oj/?locale=LV" TargetMode="External"/><Relationship Id="rId27" Type="http://schemas.openxmlformats.org/officeDocument/2006/relationships/hyperlink" Target="http://eur-lex.europa.eu/eli/dec/2012/688/oj/?locale=LV" TargetMode="External"/><Relationship Id="rId30" Type="http://schemas.openxmlformats.org/officeDocument/2006/relationships/hyperlink" Target="http://eur-lex.europa.eu/eli/dec/2013/752/oj/?locale=LV" TargetMode="External"/><Relationship Id="rId35" Type="http://schemas.openxmlformats.org/officeDocument/2006/relationships/hyperlink" Target="http://eur-lex.europa.eu/eli/dec_impl/2016/339/oj/?locale=LV" TargetMode="External"/><Relationship Id="rId43" Type="http://schemas.openxmlformats.org/officeDocument/2006/relationships/hyperlink" Target="http://eur-lex.europa.eu/eli/dec/2006/771/oj/?locale=LV" TargetMode="External"/><Relationship Id="rId48"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b6b35e94e386743e7ee0d2abb7c9482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8f104d917aa921e5ab62138defb26e93"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SharingHintHash" ma:index="19"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
</file>

<file path=customXml/itemProps1.xml><?xml version="1.0" encoding="utf-8"?>
<ds:datastoreItem xmlns:ds="http://schemas.openxmlformats.org/officeDocument/2006/customXml" ds:itemID="{F8537952-7269-47A6-B8B4-9B0961271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BD9416-EE73-4FE2-B889-DFEBB19F5B4A}">
  <ds:schemaRefs>
    <ds:schemaRef ds:uri="http://schemas.openxmlformats.org/officeDocument/2006/bibliography"/>
  </ds:schemaRefs>
</ds:datastoreItem>
</file>

<file path=customXml/itemProps3.xml><?xml version="1.0" encoding="utf-8"?>
<ds:datastoreItem xmlns:ds="http://schemas.openxmlformats.org/officeDocument/2006/customXml" ds:itemID="{569686C8-3898-49DC-9480-44CBF45BDD81}">
  <ds:schemaRefs>
    <ds:schemaRef ds:uri="http://schemas.microsoft.com/sharepoint/v3/contenttype/forms"/>
  </ds:schemaRefs>
</ds:datastoreItem>
</file>

<file path=customXml/itemProps4.xml><?xml version="1.0" encoding="utf-8"?>
<ds:datastoreItem xmlns:ds="http://schemas.openxmlformats.org/officeDocument/2006/customXml" ds:itemID="{697D38F8-BD28-44FA-B8FB-FAE0BADC6C2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8DAB9-D8E5-442B-9DAF-ABA0E03979FD}"/>
</file>

<file path=docProps/app.xml><?xml version="1.0" encoding="utf-8"?>
<Properties xmlns="http://schemas.openxmlformats.org/officeDocument/2006/extended-properties" xmlns:vt="http://schemas.openxmlformats.org/officeDocument/2006/docPropsVTypes">
  <Template>Normal.dotm</Template>
  <TotalTime>18</TotalTime>
  <Pages>13</Pages>
  <Words>22454</Words>
  <Characters>12800</Characters>
  <Application>Microsoft Office Word</Application>
  <DocSecurity>0</DocSecurity>
  <Lines>106</Lines>
  <Paragraphs>70</Paragraphs>
  <ScaleCrop>false</ScaleCrop>
  <HeadingPairs>
    <vt:vector size="2" baseType="variant">
      <vt:variant>
        <vt:lpstr>Title</vt:lpstr>
      </vt:variant>
      <vt:variant>
        <vt:i4>1</vt:i4>
      </vt:variant>
    </vt:vector>
  </HeadingPairs>
  <TitlesOfParts>
    <vt:vector size="1" baseType="lpstr">
      <vt:lpstr>NRFP</vt:lpstr>
    </vt:vector>
  </TitlesOfParts>
  <Company>VASES</Company>
  <LinksUpToDate>false</LinksUpToDate>
  <CharactersWithSpaces>35184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HP</cp:lastModifiedBy>
  <cp:revision>10</cp:revision>
  <dcterms:created xsi:type="dcterms:W3CDTF">2025-11-10T09:26:00Z</dcterms:created>
  <dcterms:modified xsi:type="dcterms:W3CDTF">2025-11-12T18:51:00Z</dcterms:modified>
  <cp:category>Pielikums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