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pasākuma "Ieguldījumi materiālajos aktīvos" apakšpasākumā "Atbalsts ieguldījumiem lauksaimniecības un mežsaimniecības infrastruktūras attīstībā"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paredzēti būvniecības darbi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izmantoti videi draudzīgas meliorācijas sistēmas elementi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paredz posmu ar meandriem, sedimentācijas dīķu, divpakāpju meliorācijas grāvju vai akmeņu krāvumu izveidi, kontrolētās drenāžas akas un mākslīgo mitrāju izveidi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sasaiste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nozīmes koplietošanas meliorācijas sistēma ietek valsts nozīmes meliorācijas sistēmā, kas atjaunota (darbi pabeigti vai uzsākti) 2014.–2020. gada plānošanas perioda apakšpasākumā "Atbalsts ieguldījumiem lauksaimniecības un mežsaimniecības infrastruktūras attīstībā"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lauksaimniecības un mežsaimniecības infrastruktūras attīstībā"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50 001–150 000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150 001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30 punktu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