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D1" w:rsidRDefault="00F077D1" w:rsidP="00F077D1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>
        <w:rPr>
          <w:rFonts w:ascii="Cambria" w:eastAsia="Times New Roman" w:hAnsi="Cambria"/>
          <w:sz w:val="19"/>
          <w:szCs w:val="19"/>
          <w:lang w:eastAsia="lv-LV"/>
        </w:rPr>
        <w:t>11. pielikums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noteikumiem Nr</w:t>
      </w:r>
      <w:r>
        <w:rPr>
          <w:rFonts w:ascii="Cambria" w:hAnsi="Cambria"/>
          <w:sz w:val="19"/>
          <w:szCs w:val="19"/>
        </w:rPr>
        <w:t xml:space="preserve">. </w:t>
      </w:r>
      <w:r>
        <w:rPr>
          <w:rFonts w:ascii="Cambria" w:eastAsia="Times New Roman" w:hAnsi="Cambria"/>
          <w:sz w:val="19"/>
          <w:szCs w:val="19"/>
          <w:lang w:eastAsia="lv-LV"/>
        </w:rPr>
        <w:t>358</w:t>
      </w:r>
    </w:p>
    <w:p w:rsidR="00F077D1" w:rsidRPr="00F077D1" w:rsidRDefault="00F077D1" w:rsidP="00F077D1">
      <w:pPr>
        <w:shd w:val="clear" w:color="auto" w:fill="FFFFFF"/>
        <w:spacing w:before="130" w:after="0" w:line="260" w:lineRule="exact"/>
        <w:rPr>
          <w:rFonts w:asciiTheme="majorHAnsi" w:eastAsia="Times New Roman" w:hAnsiTheme="majorHAnsi"/>
          <w:i/>
          <w:sz w:val="18"/>
          <w:szCs w:val="18"/>
          <w:lang w:eastAsia="lv-LV"/>
        </w:rPr>
      </w:pPr>
      <w:r w:rsidRPr="00F077D1">
        <w:rPr>
          <w:rFonts w:asciiTheme="majorHAnsi" w:hAnsiTheme="majorHAnsi"/>
          <w:i/>
          <w:sz w:val="18"/>
          <w:szCs w:val="18"/>
        </w:rPr>
        <w:t>(Pielikums MK 28.06.2016. noteikumu Nr. 425 redakcijā)</w:t>
      </w:r>
    </w:p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F077D1" w:rsidRDefault="00F077D1" w:rsidP="00F077D1">
      <w:pPr>
        <w:shd w:val="clear" w:color="auto" w:fill="FFFFFF"/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Periodiskās apmācības programma</w:t>
      </w:r>
      <w:bookmarkStart w:id="0" w:name="_GoBack"/>
      <w:bookmarkEnd w:id="0"/>
    </w:p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2"/>
        <w:gridCol w:w="5913"/>
        <w:gridCol w:w="1211"/>
      </w:tblGrid>
      <w:tr w:rsidR="00F077D1" w:rsidTr="00F077D1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Moduļa nosaukums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Priekšmeta nosaukums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Apmācības stundu skaits</w:t>
            </w:r>
          </w:p>
        </w:tc>
      </w:tr>
      <w:tr w:rsid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Vadītājs – uzņēmuma pārstāvis 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pārvadājumu saimnieciskā nozīme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sabiedriskā ietekme uz uzņēmuma autoritāti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Vadītājs policijas kontroles situācijā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cīņā pret nelegālo imigrāciju un kravu zādzību mazināšanu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zaudējumu mazināšanā ceļu satiksmes negadījumā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Vadītājs un apdrošināšanas gadījuma regulēšanas principi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darba slodzes ietekme uz viņa veselību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Kinemātiskā ķēde – videi draudzīga braukšana 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Informācija par kravas transportlīdzekļu tehniku un tās iespējām to izmantošanai optimālam degvielas patēriņam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Enerģija un dabas aizsardzība, informācija par ekonomisku, enerģiju taupošu un dabai draudzīgu braukšanas stilu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Pretestības spēku iedarbes pārvarēšana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 – saimnieciskums un videi draudzīga attieksme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Eko braukšanas nosacījumi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Izplūdes gāzu apstrāde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Alternatīvās degvielas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Darba un atpūtas laiki un tiesību akti, digitālais </w:t>
            </w:r>
            <w:proofErr w:type="spellStart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tahogrāfs</w:t>
            </w:r>
            <w:proofErr w:type="spellEnd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Autotransporta sociālā vide un to reglamentējošie normatīvie akti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Darba un atpūtas laiki, to kontrole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Otrās paaudzes digitālie </w:t>
            </w:r>
            <w:proofErr w:type="spellStart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tahogrāfi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Manuālā datu ievade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Braukšanas ar prāmjiem reģistrēšana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Vairāku ekipāžas locekļu darbs, transportlīdzekļa vadīšanas pārņemšana ceļā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Muitas prasības vadītājam, maksas ceļi un robežu šķērsošana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Kravas izvietošana un nostiprināšana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Normatīvie akti un atbildība kravu pārvadājumos ceļu satiksmē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Spēki kravu pārvadāšanā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Transportlīdzekļu kravas telpa, kravas izvietošanas plāns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nostiprināšanas līdzekļi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nostiprināšanas veidi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Aprēķini kravu nostiprināšanai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Dažādu kravu veidu nostiprināšanas paņēmieni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2"/>
        <w:gridCol w:w="5913"/>
        <w:gridCol w:w="1211"/>
      </w:tblGrid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Drošības tehnika, pasākumi un satiksmes drošība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Prasības satiksmes drošībai starptautiskos kravu pārvadājumos un braukšana tuneļos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Bīstamās situācijas autovadītāja ikdienas darbā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Iespēja identificēt iepriekšējo bīstamību un izvairīties no bīstamām situācijām ceļu satiksmē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Transportlīdzekļa iekšējās, ārējās un kravas telemātikas sistēmas, to darbības principi un vadība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pēc ceļu satiksmes negadījuma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ADR kravu pārvadājumi, kravu pārvadājumi cisternās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Darba drošība ar maināmām kravas telpām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8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35</w:t>
            </w:r>
          </w:p>
        </w:tc>
      </w:tr>
    </w:tbl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B77160" w:rsidRDefault="00B77160"/>
    <w:sectPr w:rsidR="00B771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D1"/>
    <w:rsid w:val="00B77160"/>
    <w:rsid w:val="00F0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D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D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1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2016-07-11T10:58:00Z</dcterms:created>
  <dcterms:modified xsi:type="dcterms:W3CDTF">2016-07-11T10:59:00Z</dcterms:modified>
</cp:coreProperties>
</file>