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19.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254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Eiropas Savienības Atveseļošanas un noturības mehānisma plāna investīcijas 4.1.1.2.i. "Atbalsts universitātes un reģionālo slimnīcu veselības aprūpes infrastruktūras stiprināšanai, lai nodrošinātu visaptverošu ilgtspējīgu integrētu veselības pakalpojumu, mazinātu infekciju slimību izplatību, epidemioloģisko prasību nodrošināšanā" finansējuma saņēmēji un finansējuma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8"/>
        <w:gridCol w:w="2917"/>
        <w:gridCol w:w="6174"/>
        <w:gridCol w:w="6174"/>
        <w:gridCol w:w="6174"/>
        <w:gridCol w:w="6174"/>
        <w:tblGridChange w:id="0">
          <w:tblGrid>
            <w:gridCol w:w="98"/>
            <w:gridCol w:w="2917"/>
            <w:gridCol w:w="6174"/>
            <w:gridCol w:w="6174"/>
            <w:gridCol w:w="6174"/>
            <w:gridCol w:w="617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Finansējuma saņēmējs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Investīcijai pieejamais attiecināmais finansējums pa finansējuma avotiem (EUR)</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Atveseļošanas un noturības mehānisma plāna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valsts budžeta finansējums PVN segšanai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 = 4 + 6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 = 4 x 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kārtas finansējuma saņēmēji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46 360 758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38 314 676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8 046 082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8 046 082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"Paula Stradiņa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42 043 236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34 746 476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7 296 760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7 296 760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40 971 083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33 860 399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7 110 684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7 110 684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"Liepājas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3 589 856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2 966 823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623 033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623 033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"Ziemeļkurzemes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4 711 486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3 893 790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817 696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817 696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"Vidzemes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7 063 139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5 837 305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1 225 834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1 225 834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"Daugavpils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11 592 291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9 580 406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2 011 885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2 011 885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"Rēzeknes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7 963 226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6 581 179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1 382 047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1 382 047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"Jēkabpils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3 643 000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3 010 744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632 256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632 256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"Jelgavas pilsētas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4 818 894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3 982 557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836 337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836 337</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kārtas finansējuma saņēmēji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"Traumatoloģijas un ortopēdijas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3 281 235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2 711 765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569 470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569 470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"Nacionālais psihiskās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597 848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494 089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103 759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103 759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"Nacionālais rehabilitācijas centrs "Vaivari""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1 969 546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1 627 724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341 822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341 822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"Piejūras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740 600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128 534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128 534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psihoneiroloģiskā slimnīca "Ainaži""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350 901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290 001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"Liepājas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1 197 900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207 900</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180 894 999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149 500 000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31 394 999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31 394 999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24-TA-3330</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24-TA-3330</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noteikumu_(grozījumu)_projekts_p_24-TA-3330.docx</dc:title>
</cp:coreProperties>
</file>

<file path=docProps/custom.xml><?xml version="1.0" encoding="utf-8"?>
<Properties xmlns="http://schemas.openxmlformats.org/officeDocument/2006/custom-properties" xmlns:vt="http://schemas.openxmlformats.org/officeDocument/2006/docPropsVTypes"/>
</file>