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martā (prot. Nr. 15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pirmo daļu atļaut Veselības ministrijai (Nacionālajam veselības dienestam) nodot bez atlīdzības Ukrainas Veselības ministrijas Sabiedrības veselības centram valsts kustamo mantu – medicīniskās ierīces (kopējā bilances vērtība 297 861,61 </w:t>
      </w:r>
      <w:r w:rsidR="00000000" w:rsidRPr="00000000" w:rsidDel="00000000">
        <w:rPr>
          <w:i w:val="1"/>
          <w:rtl w:val="0"/>
        </w:rPr>
        <w:t xml:space="preserve">euro</w:t>
      </w:r>
      <w:r w:rsidR="00000000" w:rsidRPr="00000000" w:rsidDel="00000000">
        <w:rPr>
          <w:rtl w:val="0"/>
        </w:rPr>
        <w:t xml:space="preserve">) – atbilstoši šā rīkojuma </w:t>
      </w:r>
      <w:r w:rsidR="00000000" w:rsidRPr="00000000" w:rsidDel="00000000">
        <w:rPr>
          <w:rtl w:val="0"/>
        </w:rPr>
        <w:t xml:space="preserve">pielikumam</w:t>
      </w:r>
      <w:r w:rsidR="00000000" w:rsidRPr="00000000" w:rsidDel="00000000">
        <w:rPr>
          <w:rtl w:val="0"/>
        </w:rPr>
        <w:t xml:space="preserve">, par nodošanu noformējot un parakstot pieņemšanas un nodošanas aktu, kā arī rakstisku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ministrijai (Nacionālajam veselības dienestam) organizēt medicīnisko ierīču, kā arī dokumentācijas sagatavošanu nosūtīšanai.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ugunsdzēsības un glābšanas dienestam kā Eiropas Savienības Civilās aizsardzības mehānisma nacionālajam kontaktpunktam koordinēt aprīkojuma transportēšanu un loģistikas nodrošināšanu, izmantojot Ārkārtas reaģēšanas koordinācijas centra (ERCC) brokeru pakalpojumu, lai nodrošinātu medicīnisko ierīču nogādāšanu un nodošanu Ukrainas Veselības ministrijas Sabiedrības veselības centram.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22-TA-3687</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22-TA-3687</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rīkojuma_projekts_22-TA-3687.docx</dc:title>
</cp:coreProperties>
</file>

<file path=docProps/custom.xml><?xml version="1.0" encoding="utf-8"?>
<Properties xmlns="http://schemas.openxmlformats.org/officeDocument/2006/custom-properties" xmlns:vt="http://schemas.openxmlformats.org/officeDocument/2006/docPropsVTypes"/>
</file>