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5. aprīļa noteikumos Nr. 205 "Darbības programmas "Izaugsme un nodarbinātība" 3.2.1. specifiskā atbalsta mērķa "Palielināt augstas pievienotās vērtības produktu un pakalpojumu eksporta proporciju" 3.2.1.1. pasākuma "Klasteru programma"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 Kohēzijas fonda 2014.–2020. gada plānošanas perioda 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2016. gada 5. aprīļa noteikumos Nr. 205 "Darbības programmas "Izaugsme un nodarbinātība" 3.2.1. specifiskā atbalsta mērķa "Palielināt augstas pievienotās vērtības produktu un pakalpojumu eksporta proporciju" 3.2.1.1. pasākuma "Klasteru programma" pirmās projektu iesniegumu atlases kārtas īstenošanas noteikumi" (Latvijas Vēstnesis, 2016, 69. nr.; 2020, 231A.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Projektu var īstenot līdz 2022.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Brīvais kopējais ERAF finansējuma apmērs ir 158 941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Projekta grozījumi par brīvo finansējumu ir iespējami, ja līdz 2021. gada 15. novembrim finansējuma saņēmējs faktiski ir veicis investīcijas vismaz 80 % apmērā no plānotā ERAF finansējuma visā projektā."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2021. gada 22.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21-TA-869</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21-TA-869</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noteikumu_projekts_21-TA-869.docx</dc:title>
</cp:coreProperties>
</file>

<file path=docProps/custom.xml><?xml version="1.0" encoding="utf-8"?>
<Properties xmlns="http://schemas.openxmlformats.org/officeDocument/2006/custom-properties" xmlns:vt="http://schemas.openxmlformats.org/officeDocument/2006/docPropsVTypes"/>
</file>