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 politikas mērķa "Sociālāka un iekļaujošāka Eiropa, īstenojot Eiropas sociālo tiesību pīlāru" 4.2. prioritātes "Izglītība, prasmes un mūžizglītība"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(turpmāk – pasākums) trešo projektu iesniegumu atlases kārtu;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trešās projektu iesniegumu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trešajai projektu iesniegumu atlases kārtai pieejamo Eiropas Reģionālās attīstības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trešās projektu iesniegumu atlases kārtas mērķis ir sniegt atbalstu pašvaldībām, kam ir noteikta pierobeža gar ārējo Latvijas Republikas sauszemes robežu un kuras  nav saņēmušas atbalstu pasākuma otrās projektu iesniegumu atlases kārtas ietvaros, lai tās uzlabotu vispārējās izglītības iestāžu mācību vidi, efektīvi koncentrētu un izmantotu resursus un stiprinātu vispārējās izglītības iestādes ar mūsdienīgas un kvalitatīvas pamata un vidējās izglītības īstenošanai nepieciešamo nodrošinājumu, tādējādi uzlabojot piekļuvi kvalitatīviem pakalpojumiem izglītības jomā.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trešās projektu iesniegumu atlases kārtas mērķa grupa ir pašvaldības, kam ir noteikta pierobeža gar ārējo Latvijas Republikas sauszemes robežu, un to dibinātas pamata un vispārējās vidējās izglītības iestādes, to pedagogi un izglītojamie.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trešās projektu iesniegumu atlases kārtas ietvaros līdz  2029.  gada  30.  septembrim ir sasniedzams nacionālais rādītājs – izglītības iestādes, kurās modernizēta mācību vide, – ne mazāk kā 6.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trešajai projektu iesniegumu atlases kārtai plānotais un pieejamais finansējums ir 5 314 400 euro, tajā skaitā Eiropas Reģionālās attīstības fonda finansējums ir 4 517 240 euro un pašvaldību budžeta līdzfinansējums 797 160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Pašvaldību budžeta līdzfinansējums ir ne mazāks kā 15 procenti no projekta kopējām attiecināmajām izmaksām.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Reģionālās attīstības fonda finansējumu pasākuma trešās projektu iesniegumu atlases kārtas ietvaros piešķir granta veidā.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trešo projektu iesniegumu atlases kārtu īsteno ierobežotas projektu iesniegumu atlases veidā. Projektu iesniegumu atlasē piemēro tikai vienotos kritērijus un vienotos izvēles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trešās projektu iesniegumu atlases kārtas ietvaros atbildīgās iestādes funkcijas pilda Izglītības un zinātnes ministrija (turpmāk – ministrija).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iesniedzēji ir Augšdaugavas novada pašvaldība, Balvu novada pašvaldība, Krāslavas novada pašvaldība, Ludzas novada pašvaldība, Preiļu novada pašvaldība un Rēzeknes novada pašvaldība.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Projektu iesniedzējiem pieejamais Eiropas Reģionālās attīstības fonda finansējums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Augšdaugavas novada pašvaldībai – 828 281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Balvu novada pašvaldībai – 765 537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Krāslavas novada pašvaldība – 651 250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Ludzas novada pašvaldībai – 762 375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Preiļu novada pašvaldība – 634 988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Rēzeknes novada pašvaldībai – 874 809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iesniedz sadarbības iestādei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Viena projekta iesnieguma minimālais kopējo attiecināmo izmaksu apmērs nav mazāks kā 200 000 euro (ieskaitot).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Sadarbības iestāde nosūta uzaicinājumu projektu iesniedzējam sagatavot un iesniegt projekta iesniegumu sadarbības iestādē, uzaicinājumā norādot Eiropas Reģionālās attīstības fonda finansējumu, kas nepārsniedz šo noteikumu 12. punktā noteikto finansējuma apmēru.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šo noteikumu 15. punktā minētajā uzaicinājumā noteiktajā termiņā iesniedz to sadarbības iestādē, izmantojot Kohēzijas politikas fondu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trešās projektu iesniegumu atlases kārtas ietvaros tiek apstiprināts projekta iesniegums, kas cita starpā atbilst arī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plānotās darbības atbilst projekta iesniedzēja pašvaldības attīstības programmas investīciju plānam un ir pamatotas pašvaldības attīstības programmā;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iesniegumam ir vismaz šāda gatavības pakāpe: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uzsākta iepirkuma procedūra par vismaz vienas projekta būves projektēšanas darbiem vai par apvienotu projektēšanu un būvdarbiem par vismaz vienu projekta būvi un iesniegts iepērkamā aprīkojuma saraksts ar veiktu aprīkojuma iegādes izmaksu aprēķinu, ja aprīkojuma iegāde ir ieplānota;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iesniegta būvvaldes izziņa, kas apliecina, ka projekta būvdarbiem būvatļauja, paskaidrojuma raksts vai apliecinājuma karte nav nepieciešama (ja attiecināms), un ir iesniegts iepērkamā aprīkojuma saraksts ar veiktu aprīkojuma iegādes izmaksu aprēķinu, ja aprīkojuma iegāde ir ieplānota;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izsludināta iepirkuma procedūra par projekta ietvaros iegādājamo aprīkojumu (ja projekta ietvaros nav paredzēta būvdarbu veikšana);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paredzēta jaunas vispārējās izglītības iestādes ēkas būvniecības vieta vai atbalstam izvirzītas vispārējās izglītības iestādes vispārējās pamata un vidējās izglītības programmas īstenošanas vieta, kurā paredz investīcijas, ir teritoriālā iedalījuma vienībā gar ārējo Latvijas Republikas sauszemes robežu, kam noteikta pierobeža, izņemot attiecīgo novadu administratīvos centrus.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Valsts izglītības informācijas sistēmas datiem uz 2025. gada 1. septembri pašvaldību dibinātā vispārējās izglītības iestāde, kas tiek izvirzīta atbalstam, nodrošina vismaz šādu izglītojamo skaitu katrā klašu grupā, ja nav attiecināms šo noteikumu 18. punktā minētais nosacījums: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 klašu grupā –  15 izglītojamie;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4.–6. klašu grupā –  15 izglītojamie;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7.–9. klašu grupā –  15 izglītojamie;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10.–12. klašu grupā – 45 izglītojamie, izņemot Dagdas vidusskolu, Kārsavas vidusskolu un Kaunatas vidusskolu, kas nodrošina vismaz 30 izglītojamos;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iesniedzējs plāno jaunas izglītības ēkas būvniecību, tad projekta iesniegumam pievieno ministrijas kā nozares ministrijas atzinumu, ka jaunas izglītības iestādes ēkas būvniecība ir atbalstāma;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ir plānotas šo noteikumu 21.5. apakšpunktā minētās izmaksas vai projekta iesniegumā ir sniegts pamatojums, ka attiecīgās investīcijas atbalstam izvirzītajā izglītības iestādē pilnveidotā vispārējās izglītības satura kvalitatīvai ieviešanai jaunas investīcijas veikt nav lietderīgi.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17.4. apakšpunktā minētais nosacījums nav attiecināms uz atbalstam izvirzītām izglītības iestādēm, uz kurām attiecināms kāds no turpmāk minētajiem nosacījumiem, projekta iesniegumam  pievienojot attiecīgu pierādījumos balstītu apliecinājumu,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iespējams izpildīt Ministru kabineta noteikumos par higiēnas prasībām izglītības iestādēm, kas īsteno vispārējās pamatizglītības, vispārējās vidējās izglītības, profesionālās pamatizglītības, arodizglītības vai profesionālās vidējās izglītības programmas, noteiktās higiēnas prasības attiecībā uz minimālo platību viena izglītojamā vietai;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uzsākta izglītības iestādes reorganizācija ar pakāpenisku izglītības pakāpes maiņu;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speciālās izglītības programmas, kurās izglītību apgūst vismaz 50% izglītojamo no kopējā izglītības iestādes izglītojamo skaita;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pieņemtajā domes lēmumā par vispārēju izglītības iestāžu tīkla optimizēšanu konkrētai izglītības iestādei noteikts pārejas periods, paredzot risinājumu, kā vispārējās izglītības iestādes atbilstība šo noteikumu 17.4. apakšpunktam tiks nodrošināta līdz 2027. gada 31. augustam;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ir saņēmusi VSIA "Latvijas Valsts ceļi" atzinumu par izglītības iestādes piekļuves ceļu pieejamību, stāvokli, plānotajiem uzlabošanas darbiem vai citiem apstākļiem, ar ko pamato šo noteikumu 17.4. apakšpunktā minētā nosacījuma izpildes neiespējamību līdz 2027. gada 31. augustam.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projekta iesnieguma apstiprināšanas projekta iesniedzēji kļūst par finansējuma saņēmējiem.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trešās projektu iesniegumu atlases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izglītības iestādes ēkas būvniecība, pārbūve vai atjaunošana;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iestādes dienesta viesnīcas būvniecība, pārbūve vai atjaunošana;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izglītības iestādes sporta infrastruktūras pārbūve vai atjaunošana;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dabaszinātņu (dabaszinību (1.–6. klasei), ķīmijas, bioloģijas, fizikas, dizaina un tehnoloģiju, inženierzinību, ģeogrāfijas) un matemātikas kabinetu (tai skaitā praktisko darbu telpu) pārbūve, atjaunošana, izveide vai pilnveide;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vides uzlabošana un mācību procesa nodrošināšanai paredzētā aprīkojuma iegāde;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un komunikācijas tehnoloģiju risinājumu ieviešana un aprīkojuma iegāde;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teritorijas labiekārtošana, tostarp izglītojamo drošības nodrošināšanai paredzētie risinājumi;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trešās projektu iesniegumu atlases kārtas ietvaros tiešās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izglītības iestādes jaunas ēkas būvniecības (tai skaitā ēkas piebūves) un ēkas pilna apjoma pārbūves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iestādes ēkas un telpu pārbūves un atjaunošanas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telpu (klašu, kabinetu, auditoriju, mācību laboratoriju, tai skaitā multifunkcionālu mācību telpu, bibliotēku un lasītavu) pārbūves un atjaunošanas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gaiteņu un  sanitāro  mezglu, evakuācijas kāpņu  pārbūves  un  atjaunošanas  izmaksas,  ja  tiek  plānotas šo  noteikumu 21.2.1. apakšpunktā un 21.5. apakšpunktā minētās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būvprojektā paredzētu iekārtu vai aprīkojuma iegāde un uzstādīšana, kas nepieciešama būves vai tās daļas pieņemšanai ekspluatācijā vai ēkas funkcionalitātes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iekšējo inženiertīklu (iekšējo elektrotīklu,  apkures  sistēmu,  vēdināšanas  un gaisa kondicionēšanas sistēmu, ūdensvada tīklu, kanalizācijas tīklu, automātiskās ugunsgrēka atklāšanas, videonovērošanas sistēmas, tostarp videonovērošanas kameras, balss apziņošanas  sistēmas, trauksmes signalizācijas un automātiskās balss ugunsgrēka izziņošanas sistēmu) izbūves un pārbūves izmaksas. Minētās izmaksas, izņemot vēdināšanas un gaisa kondicionēšanas sistēmu izbūves un pārbūves izmaksas, plāno kā papildinošas šo noteikumu 21.2.1., 21.2.2. un 21.5. apakšpunktā minētajām izmaksām, un tās nepārsniedz 25 procentus no šo noteikumu 21.2.1.,  21.2.2. un 21.5. apakšpunktā minētajām būvdarbu attiecināmajām izmaksām. Ja projekta īstenošanas rezultātā paredzēta visu projektā atbalstāmo vispārējās izglītības iestādes klašu telpu mācību vides uzlabošana, iekšējo inženiertīklu izbūves un pārbūves izmaksas, izņemot vēdināšanas un gaisa kondicionēšanas sistēmu izbūves un pārbūves izmaksas, nepārsniedz 25 procentus no projekta kopējām attiecināmajām izmaksām;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ergonomiskas mācību vides izveides izmaksas, tai skaitā mācību telpas aprīkojuma un mēbeļu iegādes, apgaismojuma modernizēšanas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komunikācijas tehnoloģiju risinājumu ieviešanas izmaksas, tai skaitā bezvadu interneta un interneta pieslēguma izveides izmaksas, mācību procesa nodrošināšanai nepieciešamā aprīkojuma un programmatūras iegādes izmaksas. Plānojot bezvadu interneta un interneta pieslēguma izveides izmaksas, projekta iesniedzējs ņem vērā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projekta ietvaros veiktās priekšizpētes rezultātus. Finansējuma saņēmējs nodrošina izmaksu nepārklāšanos ar 2.3.2.3.i. investīciju "Digitālās plaisas mazināšana sociāli neaizsargātajām grupām un izglītības iestādēs". Datortehnikas iegāde pedagogiem un atbalsta personālam nav attiecināma;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dabaszinātņu (dabaszinību (1.–6. klasei), ķīmijas, bioloģijas, fizikas, dizaina un tehnoloģiju, inženierzinību, ģeogrāfijas) un matemātikas kabinetu (tai skaitā praktisko darbu telpu) izveides vai pilnveides izmaksas, tai skaitā telpu pārbūves un atjaunošanas izmaksas, un šo kabinetu aprīkojuma un inventāra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vispārējās izglītības iestādes dienesta viesnīcas būvniecības, pārbūves un atjaunošanas izmaksas un tās darbības (dzīvojamo un mācību telpu, virtuves, sanitāro mezglu, dušas telpu) nodrošināšanai nepieciešamā aprīkojuma un mēbeļu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vispārējās izglītības iestādes sporta zāles un sporta laukuma, tai skaitā ārtelpu aktivitāšu sporta laukuma un ģērbtuvju pārbūves un atjaunošanas izmaksas, ārtelpu aktivitāšu sporta laukuma aprīkojuma un inventāra izmaksas un mācību priekšmeta "Sports un veselība" nodrošināšanai nepieciešamā aprīkojuma un inventāra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teritorijas labiekārtošanas un drošības nodrošināšanas, tai skaitā attiecīgo elementu iegādes un uzstādīšanas (piemēram, soliņi, celiņi, apgaismojums, žogi, terases, nojumes, videonovērošanas kameras, apsardzes sistēma), izmaksas, nepārsniedzot divus procentus no projekta kopējām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būvuzraudzības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būvprojekta, būvdarbu ieceres dokumentācijas, būvprojekta minimālā sastāvā, paskaidrojuma raksta izstrādes vai aktualizācijas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neatkarīgu  būvekspertīžu  veikšanas   un  tehniskās   apsekošanas   izmaksas, tai  skaitā  neatkarīgas būvprojekta ekspertīzes veikšanas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izmaksas,  kas  saistītas  ar  ēkas  nodošanu  ekspluatācijā,  ja  tās  nav  paredzētas  līgumā  par  būvdarbu veikšanu;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komunikācijas un vizuālās identitātes pasākumu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īstenošanas izmaksas, tai skaitā  vides un informācijas piekļūstamības ekspertu konsultācijas;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neparedzētie izdevumi, kas nepārsniedz piecus procentus no projekta kopējām attiecināmajām izmaksām. Neparedzētos izdevumus pirms to veikšanas finansējuma saņēmējs saskaņo ar sadarbības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21.6. un 21.7. apakšpunktā minētās izmaksas kopā nepārsniedz 50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attiecināmām izmaksām, vienlaikus ievērojot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ietvertos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iesniegumu pamatojošās dokumentācijas sagatavošanas izmaksas, būvuzraudzības, autoruzraudzības, būvprojekta tehniskā projekta vai skiču projekta stadijā izmaksas, energosertifikācijas un energoaudita izmaksas kopā ir attiecināmas līdz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ir attiecināmas no šo noteikumu spēkā stāšanās dienas, izņemot šo noteikumu 21.10., 21.11. un 21.12. apakšpunktā minētās izmaksas, kas ir attiecināmas, ja tās veiktas, sākot ar 2023. gada 1. janvāri. Izmaksas par darbībām, kuras tiek pabeigtas līdz projekta iesnieguma iesniegšanai sadarbības iestādē, nav attiecināmas.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2021.–2027. gada plānošanas perioda projektiem, vai atbildīgās iestādes izstrādāta un ar vadošo iestādi saskaņota vienkāršoto izmaksu metodika, kura piemērojama pasākuma trešajā projektu iesniegumu atlases kārtā, tā tiek piemērota pasākuma trešās projektu iesniegumu atlases kārtas projekta īstenošanā.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Izmaksas, kas saskaņā ar šiem noteikumiem nav noteiktas kā attiecināmās izmaksas, ir finansējamas ārpus projekta.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trešās projektu iesniegumu atlases kārtas ietvaros ieguldījumus veic finansējuma saņēmēja īpašumā vai valdījumā esošā īpašumā, uz kuru tiesības ir nostiprinātas zemesgrāmatā. Informācijas un komunikācijas tehnoloģiju ieguldījumi plāno finansējuma saņēmēja īpašumā esošajos digitālajos risinājumos. Pēc ieguldījumu veikšanas finansējuma saņēmēja īpašumā būs pirmkodi un intelektuālā īpašuma tiesības, tai skaitā risinājuma modificēšanas tiesības, lai novērstu gadījumus, kad tiek kropļota konkurence, veicot publiskus ieguldījumus kāda konkrēta komersanta īpašumā.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Sadarbības iestāde  projekta  īstenošanas  laikā  un  projekta  dzīves cikla laikā (10  gadi) atbilstoši ministrijas izstrādātajai papildinošas saimnieciskās darbības uzraudzības metodikai nodrošina papildinošas saimnieciskās darbības uzraudzību projekta uzlabotajai infrastruktūrai.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atbalsts projekta īstenošanai netiktu kvalificēts kā komercdarbības atbalsts, projekta īstenošanas rezultātā attīstītajā infrastruktūrā projekta dzīves cikla laikā ir pieļaujama papildinoša saimnieciskā darbība 20 procentu apmērā no infrastruktūras gada jaudas platības, laika vai finanšu izteiksmē un ir pieļaujama papildpakalpojumu sniegšana.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visā projekta dzīves cikla laikā ik gadu sagatavo pārskatus par papildinošās saimnieciskās darbības un papildpakalpojumu apjomu un nodrošina šajā punktā minēto pārskatu un aprēķinus pamatojošo dokumentu pieejamību papildinošās saimnieciskās darbības un papildpakalpojumu uzraudzībai. Ja finansējuma saņēmējs konstatē, ka ir pārsniegts šo noteikumu 31. punktā minētais 20 procentu apjoms no infrastruktūras kopējās gada jaudas un/vai ka minētā infrastruktūra tiek izmantota citai saimnieciskajai darbībai, kas nav uzskatāma par papildinošu saimniecisku darbību, tas, ievērojot saskaņā ar vienošanos par projekta īstenošanu noteikto termiņu, iesniedz sadarbības iestādei ziņojumu par konstatēto šo noteikumu 31. punktā minēto nosacījumu pārkāpumu. Sadarbības iestādei ir tiesības pieprasīt, lai finansējuma saņēmējs iesniedz pārskatus par papildinošo saimniecisko darbību un papildpakalpojumiem projekta dzīves cikla laikā, tai skaitā gadījumos, kad informācija par papildinošās saimnieciskās darbības un papildpakalpojumu nosacījumu pārkāpumu saņemta no finansējuma saņēmēja, kompetentajām iestādēm vai no trešajām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projekta dzīves cikla laikā tiek konstatēts, ka infrastruktūrā, par kuru iesniegts projekta iesniegums, tiek veikta saimnieciskā darbība, kas nav uzskatāma par papildpakalpojumu, vai tiek veikta papildinoša saimnieciskā darbība, kas pārsniedz šo noteikumu 31. punktā minēto apmēru, vai tiek veikta saimnieciskā darbība, kas nav uzskatāma par papildinošu saimniecisko darbību, finansējuma saņēmējs proporcionāli tai gada jaudas daļai platības, laika vai finanšu izteiksmē, par kuru kopumā ir konstatēts pārkāpums, atmaksā sadarbības iestādei visu nelikumīgi saņemto atbalstu kopā ar procentiem no finansējuma, kura avots nav publiskie līdzekļi, saskaņā ar Komercdarbības atbalsta kontroles likuma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4. punktā  minēto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projekta īstenošanas laikā uzkrāj datus par projekta ietekmi uz vismaz vienu no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objektu skaitu, kuros Eiropas Reģionālās attīstības fonda ieguldījumu rezultātā ir nodrošināta vides un informācijas piekļūstamība;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vides un informācijas piekļūstamības pašnovērtējumu skaitu atbilstoši Labklājības ministrijas izstrādātajai metodikai;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konsultatīva rakstura pasākumu skaitu par projekta ietvaros būvētās vides, informācijas tehnoloģiju risinājumu un informācijas tehnoloģiju piekļūstamību personām ar dažādiem funkcionāliem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šādus horizontālos principus un uzkrāj datus par projekta ietekmi uz tiem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34.2. apakšpunktā  minētajiem horizontālā principa "Vienlīdzība, iekļaušana, nediskriminācija un pamattiesību ievērošana"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projekta īstenošanas, kā arī trīs gadus pēc projekta īstenošanas informē sadarbības iestādi par būves ikgadējo enerģijas patēriņu (megavatstundas);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visas preces un pakalpojumi tiks iepirkti atklātā, pārredzamā, nediskriminējošā un konkurenci nodrošinošā procedūrā, ievērojot publiskā iepirkuma procedūru regulējošos normatīvos aktus, un var piemērot sociāli atbildīgus un inovatīvus publiskos iepirkumus, kā arī sekmē zaļā publiskā iepirkuma prasību ievērošanu saskaņā ar normatīvajiem aktiem par prasībām zaļajam publiskajam iepirkumam un to piemērošanas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ir atbildīgs par dubultā finansējuma novēršanu  un demarkācijas nodrošināšanu ar citiem līdzīgiem vai saistītiem projektiem un nodrošina, lai pasākuma trešās projektu iesniegumu atlases kārtas ietvaros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īstenošanas laikā un projekta dzīves cikla laikā nodrošina visu ar projekta īstenošanu saistīto dokumentu glabāšanu, tai skaitā projekta iesnieguma, jebkuru ar projektu saistīto sarakstes dokumentu, iepirkuma dokumentācijas, projekta līguma, veiktos darbus, piegādes un sniegtos pakalpojumus apliecinošu dokumentu glabāšanu, veiktos maksājumus apliecinošu dokumentu oriģinālu vai to atvasinājumu ar juridisko spēku glabāšanu;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ir atbildīgs par interešu konflikta riska novēršanu;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 tai skaitā pašvaldība nodrošina atbalstu saņēmušās vispārējās izglītības iestādes atbilstību šo noteikumu 17.4. apakšpunktam un 18. punktam. Minētajā ilgtspējas periodā pašvaldība var pieņemt jaunus domes lēmumus vai veikt grozījumus iepriekš pieņemtajos domes lēmumos attiecībā uz atbalstu saņēmušo vispārējās izglītības iestādi, ievērojot nosacījumu par atbalstam izvirzītās vispārējās izglītības iestādes atbilstību.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Pēc vienošanās  par  projekta  īstenošanu  noslēgšanas  sadarbības iestāde,  pamatojoties  uz  finansējuma  saņēmēja avansa pieprasījumu, nodrošina finansējuma saņēmējam avansa maksājumus, ievērojot, ka viens avansa maksājums nepārsniedz 30 procentus un avansa un starpposmu maksājumu kopsumma nepārsniedz 90 procentus no kopējā projektam piešķirtā Eiropas Reģionālās attīstības fonda finansējuma. Maksājuma pieprasījumu piešķirtā avansa maksājuma apmērā finansējuma saņēmējs iesniedz sadarbības iestādei pēc avansa maksājuma saņemšanas sešu mēnešu laikā saimnieciskā gada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būvdarbu  veicējam vai piegādātājam var paredzēt avansa maksājumu līdz 30 procentiem no būvdarbu vai piegāžu līgumcenas. Finansējuma saņēmējs var veikt avansa maksājumu,  ja būvdarbu veicējs vai piegādātājs tam iesniedz  Eiropas Savienībā reģistrētas  kredītiestādes vai apdrošināšanas sabiedrības izsniegtu pirmā pieprasījuma avansa atmaksāšanas  garantiju, kas ir vienāda ar avansa summu un ir spēkā līdz pilnīgai avansa summas atmaksai.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30. septembrim.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25-TA-1639</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25-TA-1639</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noteikumu_projekts_25-TA-1639.docx</dc:title>
</cp:coreProperties>
</file>

<file path=docProps/custom.xml><?xml version="1.0" encoding="utf-8"?>
<Properties xmlns="http://schemas.openxmlformats.org/officeDocument/2006/custom-properties" xmlns:vt="http://schemas.openxmlformats.org/officeDocument/2006/docPropsVTypes"/>
</file>