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[25-TA-205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[25-TA-205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"Notekūdeņu dūņu pārstrāde" iesnieguma veidlapa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01"/>
        <w:gridCol w:w="7139"/>
        <w:tblGridChange w:id="0">
          <w:tblGrid>
            <w:gridCol w:w="2201"/>
            <w:gridCol w:w="713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92"/>
        <w:gridCol w:w="7148"/>
        <w:tblGridChange w:id="0">
          <w:tblGrid>
            <w:gridCol w:w="2192"/>
            <w:gridCol w:w="714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sadaļa – Pamatinformācija par projekta iesniedzēju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Projekta 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8"/>
        <w:gridCol w:w="3858"/>
        <w:gridCol w:w="5004"/>
        <w:tblGridChange w:id="0">
          <w:tblGrid>
            <w:gridCol w:w="328"/>
            <w:gridCol w:w="3858"/>
            <w:gridCol w:w="50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darbības 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pašvaldības kapitālsabiedrība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sabiedrība ar ierobežotu atbildību (SIA)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akciju sabiedrība (AS)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cita publisko tiesību juridiskā persona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maksātājs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maksātāja reģistrācijas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Iela, mājas nr.</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novads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Pasta indekss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vai 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Plānošanas reģions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plānošanas reģions_____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plānošanas reģions_____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plānošanas reģions_____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plānošanas reģions_____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plānošanas reģions_____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 minimis</w:t>
            </w:r>
            <w:r w:rsidR="00000000" w:rsidRPr="00000000" w:rsidDel="00000000">
              <w:rPr>
                <w:rtl w:val="0"/>
              </w:rPr>
              <w:t xml:space="preserve"> atbalsta uzskaites sistēmā aizpildītās veidlapas identifikācijas numurs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Projekta iesniedzēja atbildīgā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5"/>
        <w:gridCol w:w="3876"/>
        <w:gridCol w:w="4969"/>
        <w:tblGridChange w:id="0">
          <w:tblGrid>
            <w:gridCol w:w="345"/>
            <w:gridCol w:w="3876"/>
            <w:gridCol w:w="49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sadaļa – Projekta apraksts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Projekta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Formulēt projekta mērķi (līdz 500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Projekta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Īsi raksturo projekta nepieciešamību, galvenās plānotās aktivitātes un sasniedzamos rezultātus. Aprakstā jānorāda, kā projekts veicinās notekūdeņu dūņu pārstrādi un ilgtspējīgu apsaimniekošanu, tostarp plānotās investīcijas iekārtās, tehnoloģijās vai infrastruktūrā. Tāpat jānorāda projekta ieguldījums siltumnīcefekta gāzu emisiju samazināšanā (līdz 2000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Projekta nepieciešamības un aktivitātes piemērotības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Nosaukt būtiskākās problēmas, kuras tiks risinātas ar projekta palīdzību, un pamatot to risināšanas aktualitāti. Nosaukt būtiskākās projekta aktivitātes, raksturot projektā izmantojamās iekārtas, tehnoloģijas un materiālus, norādot to priekšrocības un trūkumus, kā arī pamatot to piemērotību projekta mērķu sasniegšanai un atbalstāmai aktivitātei (līdz 6000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Projekta aktivitātes īstenošanai plānotie iepirkumi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un raksturot projekta ietvaros plānotos publiskos iepirkumus un tajos izmantojamos kritērijus (zaļā publiskā iepirkuma kritērijs u. c.) (līdz 1000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 Projekta aktivitātes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1"/>
        <w:gridCol w:w="1672"/>
        <w:gridCol w:w="2347"/>
        <w:gridCol w:w="2250"/>
        <w:gridCol w:w="2250"/>
        <w:gridCol w:w="2250"/>
        <w:tblGridChange w:id="0">
          <w:tblGrid>
            <w:gridCol w:w="371"/>
            <w:gridCol w:w="1672"/>
            <w:gridCol w:w="2347"/>
            <w:gridCol w:w="2250"/>
            <w:gridCol w:w="2250"/>
            <w:gridCol w:w="225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apakšaktivitāte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apakšaktivitātes apraksts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 skaitliskā izteiksmē</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2.6. Projektā plānotie sasniedzamie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108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27"/>
        <w:gridCol w:w="3838"/>
        <w:gridCol w:w="1659"/>
        <w:gridCol w:w="2104"/>
        <w:gridCol w:w="2104"/>
        <w:tblGridChange w:id="0">
          <w:tblGrid>
            <w:gridCol w:w="627"/>
            <w:gridCol w:w="3838"/>
            <w:gridCol w:w="1659"/>
            <w:gridCol w:w="2104"/>
            <w:gridCol w:w="21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 pārstrādi piegādātās notekūdeņu dūņas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Pārstrādātās notekūdeņu dūņas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dūņu apjoms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tonnas/gadā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dūņu kvalitātes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saturs (no sausnas)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smago metālu (kadmijs (Cd), svins (Pb), dzīvsudrabs (Hg), Hroms (Cr), Varš (Cu), Niķelis (Ni), Cinks (Zn)) koncentrācija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 sausnas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metāna (CH</w:t>
            </w:r>
            <w:r w:rsidR="00000000" w:rsidRPr="00000000" w:rsidDel="00000000">
              <w:rPr>
                <w:vertAlign w:val="subscript"/>
                <w:rtl w:val="0"/>
              </w:rPr>
              <w:t xml:space="preserve">4</w:t>
            </w:r>
            <w:r w:rsidR="00000000" w:rsidRPr="00000000" w:rsidDel="00000000">
              <w:rPr>
                <w:rtl w:val="0"/>
              </w:rPr>
              <w:t xml:space="preserve">) koncentrācija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dioksīda (CO</w:t>
            </w:r>
            <w:r w:rsidR="00000000" w:rsidRPr="00000000" w:rsidDel="00000000">
              <w:rPr>
                <w:vertAlign w:val="subscript"/>
                <w:rtl w:val="0"/>
              </w:rPr>
              <w:t xml:space="preserve">2</w:t>
            </w:r>
            <w:r w:rsidR="00000000" w:rsidRPr="00000000" w:rsidDel="00000000">
              <w:rPr>
                <w:rtl w:val="0"/>
              </w:rPr>
              <w:t xml:space="preserve">) koncentrācija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Saražotā komposta apjoms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Saražotās biogāzes apjoms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m³/gadā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Saražotais bioogļu apjoms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Faktiskais notekūdeņu dūņu CO</w:t>
            </w:r>
            <w:r w:rsidR="00000000" w:rsidRPr="00000000" w:rsidDel="00000000">
              <w:rPr>
                <w:vertAlign w:val="subscript"/>
                <w:rtl w:val="0"/>
              </w:rPr>
              <w:t xml:space="preserve">2</w:t>
            </w:r>
            <w:r w:rsidR="00000000" w:rsidRPr="00000000" w:rsidDel="00000000">
              <w:rPr>
                <w:rtl w:val="0"/>
              </w:rPr>
              <w:t xml:space="preserve"> emisiju samazinājums pēc pārstrādes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Faktiskais notekūdeņu dūņu CO</w:t>
            </w:r>
            <w:r w:rsidR="00000000" w:rsidRPr="00000000" w:rsidDel="00000000">
              <w:rPr>
                <w:vertAlign w:val="subscript"/>
                <w:rtl w:val="0"/>
              </w:rPr>
              <w:t xml:space="preserve">2</w:t>
            </w:r>
            <w:r w:rsidR="00000000" w:rsidRPr="00000000" w:rsidDel="00000000">
              <w:rPr>
                <w:rtl w:val="0"/>
              </w:rPr>
              <w:t xml:space="preserve"> emisiju samazinājuma efektivitātes rādītājs pēc pārstrādes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CO</w:t>
            </w:r>
            <w:r w:rsidR="00000000" w:rsidRPr="00000000" w:rsidDel="00000000">
              <w:rPr>
                <w:vertAlign w:val="subscript"/>
                <w:rtl w:val="0"/>
              </w:rPr>
              <w:t xml:space="preserve">2</w:t>
            </w:r>
            <w:r w:rsidR="00000000" w:rsidRPr="00000000" w:rsidDel="00000000">
              <w:rPr>
                <w:rtl w:val="0"/>
              </w:rPr>
              <w:t xml:space="preserve">/euro/gadā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 Projekta ietvaros sasniedzamā potenciālā CO</w:t>
      </w:r>
      <w:r w:rsidR="00000000" w:rsidRPr="00000000" w:rsidDel="00000000">
        <w:rPr>
          <w:b w:val="1"/>
          <w:vertAlign w:val="subscript"/>
          <w:rtl w:val="0"/>
        </w:rPr>
        <w:t xml:space="preserve">2</w:t>
      </w:r>
      <w:r w:rsidR="00000000" w:rsidRPr="00000000" w:rsidDel="00000000">
        <w:rPr>
          <w:b w:val="1"/>
          <w:rtl w:val="0"/>
        </w:rPr>
        <w:t xml:space="preserve"> emisijas samazinājuma pamatojums un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ietvaros sasniedzamo potenciālo CO</w:t>
      </w:r>
      <w:r w:rsidR="00000000" w:rsidRPr="00000000" w:rsidDel="00000000">
        <w:rPr>
          <w:i w:val="1"/>
          <w:vertAlign w:val="subscript"/>
          <w:rtl w:val="0"/>
        </w:rPr>
        <w:t xml:space="preserve">2</w:t>
      </w:r>
      <w:r w:rsidR="00000000" w:rsidRPr="00000000" w:rsidDel="00000000">
        <w:rPr>
          <w:i w:val="1"/>
          <w:rtl w:val="0"/>
        </w:rPr>
        <w:t xml:space="preserve"> emisijas samazinājumu (ne vairāk kā 2000 rakstu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2.8. Investīciju ieguldījumu rādītāja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ieguldījumu notekūdeņu dūņu pārstrādes iekārtu izveidē aprēķina kā attiecināmo izmaksu attiecību pret iekārtas projektēto pārstrādes jaudu gadā, saskaņā ar šo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Eff</w:t>
      </w:r>
      <w:r w:rsidR="00000000" w:rsidRPr="00000000" w:rsidDel="00000000">
        <w:rPr>
          <w:vertAlign w:val="subscript"/>
          <w:rtl w:val="0"/>
        </w:rPr>
        <w:t xml:space="preserve">inv</w:t>
      </w:r>
      <w:r w:rsidR="00000000" w:rsidRPr="00000000" w:rsidDel="00000000">
        <w:rPr>
          <w:rtl w:val="0"/>
        </w:rPr>
        <w:t xml:space="preserve">=Q /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r>
        <w:tab/>
      </w:r>
      <w:r>
        <w:br/>
      </w:r>
      <w:r w:rsidR="00000000" w:rsidRPr="00000000" w:rsidDel="00000000">
        <w:rPr>
          <w:rtl w:val="0"/>
        </w:rPr>
        <w:t xml:space="preserve">Eff</w:t>
      </w:r>
      <w:r w:rsidR="00000000" w:rsidRPr="00000000" w:rsidDel="00000000">
        <w:rPr>
          <w:vertAlign w:val="subscript"/>
          <w:rtl w:val="0"/>
        </w:rPr>
        <w:t xml:space="preserve">₍inv₎</w:t>
      </w:r>
      <w:r w:rsidR="00000000" w:rsidRPr="00000000" w:rsidDel="00000000">
        <w:rPr>
          <w:rtl w:val="0"/>
        </w:rPr>
        <w:t xml:space="preserve"> – investīciju efektivitāte (EUR/t gadā);</w:t>
      </w:r>
      <w:r>
        <w:tab/>
      </w:r>
      <w:r>
        <w:br/>
      </w:r>
      <w:r w:rsidR="00000000" w:rsidRPr="00000000" w:rsidDel="00000000">
        <w:rPr>
          <w:rtl w:val="0"/>
        </w:rPr>
        <w:t xml:space="preserve">C – projekta attiecināmās izmaksas (EUR);</w:t>
      </w:r>
      <w:r>
        <w:tab/>
      </w:r>
      <w:r>
        <w:br/>
      </w:r>
      <w:r w:rsidR="00000000" w:rsidRPr="00000000" w:rsidDel="00000000">
        <w:rPr>
          <w:rtl w:val="0"/>
        </w:rPr>
        <w:t xml:space="preserve">Q – iekārtas projektētā notekūdeņu dūņu pārstrādes jauda (t gadā, sausnas izteiksmē).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2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37"/>
        <w:gridCol w:w="5232"/>
        <w:tblGridChange w:id="0">
          <w:tblGrid>
            <w:gridCol w:w="3737"/>
            <w:gridCol w:w="523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Attiecināmās izmaksas (EUR)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pārstrādes jauda (t/gadā, sausnas izteiksmē)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Aprēķinātais investīciju ieguldījumu rādītājs (EUR/t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ieguldījumu rādītāja aprēķina pamatojums </w:t>
      </w:r>
      <w:r w:rsidR="00000000" w:rsidRPr="00000000" w:rsidDel="00000000">
        <w:rPr>
          <w:i w:val="1"/>
          <w:rtl w:val="0"/>
        </w:rPr>
        <w:t xml:space="preserve">(ne vairāk kā 2000 rakstu 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2.9. Projekta īstenošanas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5"/>
        <w:gridCol w:w="847"/>
        <w:gridCol w:w="2349"/>
        <w:gridCol w:w="5437"/>
        <w:tblGridChange w:id="0">
          <w:tblGrid>
            <w:gridCol w:w="405"/>
            <w:gridCol w:w="847"/>
            <w:gridCol w:w="2349"/>
            <w:gridCol w:w="543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vietas (objekta, zemes) kadastra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vietas atbilstība Ministru kabineta «=TAP_DOK_DATUMS_GEN» noteikumiem Nr. «=TAP_DOK_NUMURS» "Emisijas kvotu izsolīšanas instrumenta finansēto projektu atklāta konkursa "Notekūdeņu dūņu pārstrāde"" nolikums" (turpmāk – noteikumi) 6. punktam (pamatojums, pievienotie dokumenti (to nosaukums, numurs u. c. apliecinoša informācija))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2.10. Ilgtspējīgas būvniecības prasību pielietošanas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atbilstību konkrētajam novērtējumam (līdz 2000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sadaļa – Projekta īstenošana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Projekta īstenošanas laika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projekta ietvaros plānoto aktivitāšu īstenošanas laikus atbilstošajam ceturksnim (ar skaitļiem no 1 līdz 12 atzīmēt atbilstošo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844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23"/>
        <w:gridCol w:w="607"/>
        <w:gridCol w:w="2202"/>
        <w:gridCol w:w="2202"/>
        <w:gridCol w:w="2202"/>
        <w:gridCol w:w="2202"/>
        <w:gridCol w:w="963"/>
        <w:gridCol w:w="963"/>
        <w:gridCol w:w="963"/>
        <w:gridCol w:w="963"/>
        <w:gridCol w:w="1574"/>
        <w:gridCol w:w="1574"/>
        <w:gridCol w:w="1574"/>
        <w:gridCol w:w="1574"/>
        <w:gridCol w:w="1574"/>
        <w:gridCol w:w="1574"/>
        <w:gridCol w:w="1574"/>
        <w:gridCol w:w="1574"/>
        <w:tblGridChange w:id="0">
          <w:tblGrid>
            <w:gridCol w:w="623"/>
            <w:gridCol w:w="607"/>
            <w:gridCol w:w="2202"/>
            <w:gridCol w:w="2202"/>
            <w:gridCol w:w="2202"/>
            <w:gridCol w:w="2202"/>
            <w:gridCol w:w="963"/>
            <w:gridCol w:w="963"/>
            <w:gridCol w:w="963"/>
            <w:gridCol w:w="963"/>
            <w:gridCol w:w="1574"/>
            <w:gridCol w:w="1574"/>
            <w:gridCol w:w="1574"/>
            <w:gridCol w:w="1574"/>
            <w:gridCol w:w="1574"/>
            <w:gridCol w:w="1574"/>
            <w:gridCol w:w="1574"/>
            <w:gridCol w:w="157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Aktivitātes nosaukums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gads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Projekta īstenošanas gatavības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Izvēlēties, kurš apgalvojums visprecīzāk raksturo projekta gatavības pakāpi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augsta gatavības pakāpe - ir izstrādāts būvprojekts, saņemtas visas nepieciešamās atļaujas, veikts būvdarbu iepirkums un noslēgts līgums ar būvdarbu veicēju, nodrošināta gatavība būvdarbu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augsta gatavības pakāpe - ir izstrādāts būvprojekts, saņemta būvatļauja un izsludināts būvdarbu iepirkums, vai izsludināts projektē un būvē iepirkums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vidēja gatavības pakāpe, ja ir sagatavoti būvniecības ieceres dokumenti un tie būvvaldē ir saskaņoti minimālajā sastāvā vai uzsākta būvprojekta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veikta sākotnējā tehniski ekonomiskā izpēte vai sagatavota tehniskā specifikācija būvprojekta izstrādei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veikta priekšizpēte par notekūdeņu dūņu apsaimniekošanas risinājumiem, bet nav izstrādāta būvniecības iecere vai tehniskais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sadaļa – Projekta finansēšanas rādītāji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4.1. Aktivitātes izmaksu tāme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9"/>
        <w:gridCol w:w="3147"/>
        <w:gridCol w:w="1025"/>
        <w:gridCol w:w="1492"/>
        <w:gridCol w:w="1428"/>
        <w:gridCol w:w="1307"/>
        <w:tblGridChange w:id="0">
          <w:tblGrid>
            <w:gridCol w:w="339"/>
            <w:gridCol w:w="3147"/>
            <w:gridCol w:w="1025"/>
            <w:gridCol w:w="1492"/>
            <w:gridCol w:w="1428"/>
            <w:gridCol w:w="13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Izmaksu pozīcijas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Izmaksas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 </w:t>
            </w:r>
            <w:r w:rsidR="00000000" w:rsidRPr="00000000" w:rsidDel="00000000">
              <w:rPr>
                <w:rtl w:val="0"/>
              </w:rPr>
              <w:t xml:space="preserve">(bez PVN)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Izmaksas kopā, </w:t>
            </w:r>
            <w:r w:rsidR="00000000" w:rsidRPr="00000000" w:rsidDel="00000000">
              <w:rPr>
                <w:i w:val="1"/>
                <w:rtl w:val="0"/>
              </w:rPr>
              <w:t xml:space="preserve">euro</w:t>
            </w:r>
            <w:r w:rsidR="00000000" w:rsidRPr="00000000" w:rsidDel="00000000">
              <w:rPr>
                <w:rtl w:val="0"/>
              </w:rPr>
              <w:t xml:space="preserve"> (ar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(aizpilda, ja nav atgūstams)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no kopējām attiecināmajām izmaksām1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Sagatavošanās izmaksas: priekšizpēte (tajā skaitā tehniski ekonomiskais pamatojums), dūņu centra izveides nosacījumu izvērtējums, tehnoloģisko risinājumu salīdzinošā analīze, ietekmes uz vidi novērtējums (IVN) vai sākotnējais izvērtējums, projektēšanas uzdevuma un tehnisko specifikāciju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Projektēšana un izpēte: tehniskā projekta vai būvprojekta izstrāde (tajā skaitā būvniecības iecere, būvprojekts minimālā sastāvā un nepieciešamās inženierizpētes – ģeodēziskās, topogrāfiskās un ģeotehniskās izpētes, kā arī citi ar projektēšanu saistītie sagatavošanas darbi (arhitektūra, būvkonstrukcijas, inženiertīkli, tehnoloģijas), būvuzraudzība un tehniskās uzraudzība, tehnoloģiskās shēmas izstrāde, autoruzraudzība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Būvdarbi: teritorijas sagatavošana (attīrīšana, zemes darbi), pamatu izbūve, būvju izbūve (reaktori, halles, rezervuāri), ceļu un piebrauktuvju izbūve, teritorijas labiekārtošana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Inženiertīklu izbūve: elektroapgādes izbūve, ūdensapgādes un kanalizācijas tīkli, lietus ūdens sistēmas, siltumapgādes sistēmas (ja attiecināms), biogāzes infrastruktūra (ja attieicnāms)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Tehnoloģiskās iekārtas: notekūdeņu dūņu pieņemšanas un uzglabāšanas iekārtas, notekūdeņu dūņu fermentācijas (anaerobās pārstrādes) iekārtas, notekūdeņu dūņu žāvēšanas iekārtas (ja attiecināms), biogāzes savākšanas un attīrīšanas sistēmas, gāzes uzglabāšanas iekārtas enerģijas ražošanas iekārtas (ja attiecināms), smaku kontroles sistēmas, notekūdeņu dūņu kvalitātes kontroles mēriekārtas, autosvari, palīgiekārtas un mehānismi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tehnikas un mehānismu iegāde dūņu pārstrādes un kompostēšanas procesu nodrošināšanai: komposta apmaisītāji, irdinātāji, kausi, frontālie iekrāvēji un citi nepieciešamie mehānismi bioloģiskās masas sagatavošanai un apstrādei.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Specializēto bezemisiju vai tīro transportlīdzekļu un to aprīkojuma iegāde notekūdeņu dūņu transportēšanai uz pārstrādes vietu, ja tie ir darbināmi ar atjaunīgajiem energoresursiem un klasificējami kā bezemisiju vai tīrie transportlīdzekļi.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Iekārtu uzstādīšana un integrācija: iekārtu piegāde, montāžas darbi, elektroinstalācijas un automatizācijas darbi, vadības sistēmas ieviešana, sistēmu integrācija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Testēšana un nodošana ekspluatācijā: iekārtu testēšana, sistēmas regulēšana, darbības testēšana (pilotēšana), nodošana ekspluatācijā, personāla apmācība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vadība un administrēšana: projekta vadības personāla izmaksas, juridiskais un iepirkumu atbalsts.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Publicitāte: Informatīvie stendi, publicitātes pasākumi, komunikācijas materiāli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Neparedzētās izmaksas: neparedzētie izdevumi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sadaļa –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40"/>
        <w:gridCol w:w="4517"/>
        <w:gridCol w:w="4231"/>
        <w:tblGridChange w:id="0">
          <w:tblGrid>
            <w:gridCol w:w="440"/>
            <w:gridCol w:w="4517"/>
            <w:gridCol w:w="423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plānoto notekūdeņu dūņu pārstrādes iekārtu un darbību (tehniska specifikācija un citi pieejamie dokumenti)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izziņa par ietekmes uz vidi novērtējuma, sākotnējā izvērtējuma vai tehnisko noteikumu nepieciešamību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plānotās aktivitātes neatbilst Notekūdeņu dūņu apsaimniekošanas plānam 2024.–2027. gadam – dūņu centra izveides nosacījumu izvērtējums, kā arī pašvaldības domes lēmumu par šī izvērtējuma apstiprināšanu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Līgums ar pašvaldību par sabiedrisko ūdenssaimniecības pakalpojumu sniegšanu, kas ietver pienākumu veikt notekūdeņu attīrīšanas procesā radušos notekūdeņu dūņu pārstrādi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Īpašuma vai lietošanas tiesības apliecinoši dokumenti:</w:t>
            </w:r>
            <w:r>
              <w:tab/>
            </w:r>
            <w:r>
              <w:br/>
            </w:r>
            <w:r w:rsidR="00000000" w:rsidRPr="00000000" w:rsidDel="00000000">
              <w:rPr>
                <w:rtl w:val="0"/>
              </w:rPr>
              <w:t xml:space="preserve">projekta iesniedzēja īpašuma vai lietošanas tiesības uz nekustamo īpašumu (tajā skaitā zemi un infrastruktūru), kurā tiks īstenotas projekta aktivitātes, kā arī uz projekta ietvaros uzstādāmajām iekārtām vai iegādājamo transportlīdzekli. Tiek iesniegtas īpašuma tiesības, nomas, apbūves tiesību vai pārvaldīšanas līguma kopijas, kas apliecina tiesību nostiprināšanu vai nodrošināšanu Valsts vienotajā datorizētajā zemesgrāmatā vai līdz projekta līguma noslēgšanai, nodrošinot, ka tiesības ir spēkā vismaz piecus gadus pēc noslēguma maksājuma saņemšanas.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kas apliecina plānoto notekūdeņu dūņu piegādi uz dūņu centru, tostarp sadarbības apliecinājumi (piemēram, nodomu protokoli, sadarbības līgumi vai citi dokumenti) ar citām pašvaldībām vai ūdenssaimniecības pakalpojumu sniedzējiem par notekūdeņu dūņu nodošanu pārstrādei, nodrošinot atbilstību "Notekūdeņu dūņu apsaimniekošanas plānam 2024.–2027.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Pilnvara, iestādes iekšējais normatīvais akts vai cits dokuments, kas apliecina pilnvarojumu parakstīt visus ar projekta iesniegumu saistītos dokumentus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sadaļa –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projekta iesniedzēja _______________________________________   </w:t>
      </w:r>
      <w:r>
        <w:tab/>
      </w:r>
      <w:r>
        <w:br/>
      </w:r>
      <w:r w:rsidR="00000000" w:rsidRPr="00000000" w:rsidDel="00000000">
        <w:rPr>
          <w:rtl w:val="0"/>
        </w:rPr>
        <w:t xml:space="preserve">                            </w:t>
      </w:r>
      <w:r w:rsidR="00000000" w:rsidRPr="00000000" w:rsidDel="00000000">
        <w:rPr>
          <w:i w:val="1"/>
          <w:rtl w:val="0"/>
        </w:rPr>
        <w:t xml:space="preserve">   (projekta iesniedzēja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amatpersona _________________________________________,    </w:t>
      </w:r>
      <w:r>
        <w:tab/>
      </w:r>
      <w:r>
        <w:br/>
      </w:r>
      <w:r w:rsidR="00000000" w:rsidRPr="00000000" w:rsidDel="00000000">
        <w:rPr>
          <w:rtl w:val="0"/>
        </w:rPr>
        <w:t xml:space="preserve">                                                  </w:t>
      </w:r>
      <w:r w:rsidR="00000000" w:rsidRPr="00000000" w:rsidDel="00000000">
        <w:rPr>
          <w:i w:val="1"/>
          <w:rtl w:val="0"/>
        </w:rPr>
        <w:t xml:space="preserve">(vārds, uzvārds, amats)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 uz projekta iesniegšanas brīdi: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projekta iesniegumā un tā pielikumos iekļautā informācija atbilst patiesībai un projekta īstenošanai pieprasītais finansējums tiks izmantots saskaņā ar projekta iesnieguma aprakstu;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projektā plānotās attiecināmās izmaksas nav plānotas cita projekta ietvaros un tās netiek un netiks segtas citu finansējuma programmu ietvaros no citiem finanšu instrumentiem, no Eiropas Savienības, ārvalstu finanšu palīdzības vai nacionālā publiskā finansējuma līdzekļiem;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projekta iesniegumam pievienotie dokumenti atbilst projekta iesniedzēja rīcībā esošiem dokumentu oriģināliem;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projekta iesniedzējam nav nodokļu un valsts sociālās apdrošināšanas obligāto iemaksu parādu, kas kopsummā pārsniedz 150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atbilstoši normatīvajiem aktiem pašvaldībā nav uzsākts finanšu stabilizācijas process (attiecināms uz pašvaldību).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tad, ja projekts tiks apstiprināts: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sniegšu vai nodrošināšu līdzfinansējumu projekta īstenošanai nepieciešamajā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projektā plānotās attiecināmās izmaksas nav un netiks iesniegtas līdzfinansēšanai citu finansējuma programmu ietvaros no citiem finanšu instrumentiem, Eiropas Savienības vai ārvalstu finanšu palīdzības līdzekļiem vai nacionālā publiskā finansējuma līdzekļiem;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projekta iesniegumā paredzētās attiecināmās izmaksas tiks veiktas un uzskaitītas finansējuma saņēmēja grāmatvedības uzskaitē (ja attiecināms), būs identificējamas, nodalītas no pārējām izmaksām un pārbaudāmas, un tās apliecinās attiecīgu attaisnojuma dokumentu oriģināli;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jebkāds sadārdzinājums, kas radīsies projekta īstenošanas laikā, tiks finansēts no projekta iesniedzēja līdzekļiem;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projekta īstenošanas un pēcieviešanas (monitoringa periodā) laikā tiks īstenoti publicitātes pasākumi saskaņā ar šo noteikumu 81. punktā minētajām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iepirkumu procedūras tiks veiktas godīgas konkurences apstākļos bez slepenām norunām;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projekta attiecināmās izmaksas par konkursa atbalstāmo aktivitāti būs radušās pēc noteikumu spēkā stāšanās dienas, bet ne vēlāk kā pēc projekta īstenošanas beigu termiņa.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vismaz piecus gadus pēc projekta īstenošanas: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finansējuma saņēmējs vai viņa pilnvarotā persona katru gadu līdz 31. janvārim iesniegs projekta rezultātu monitoringa pārskatu;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 projekta iesniegumā norādītajā infrastruktūrā, kurā plānota projekta aktivitāšu īstenošana, projekta pēcieviešanas (monitoringa) un amortizācijas periodā netiks mainīts tās lietošanas mērķis, tā netiks pārbūvēta vai demontēta, kā arī netiks demontētas projekta ietvaros uzstādītās dūņu pārstrādes iekārtas un sistēmas. Ja tiks veikta iekārtu vai tehnoloģiju uzlabošana, tiks paaugstināta to efektivitāte, lai samazinātu enerģijas patēriņu un siltumnīcefekta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projektu var neapstiprināt finansēšanai no finanšu instrumenta, ja projekta iesniegums, ieskaitot šo sadaļu, nav pilnībā un kvalitatīvi aizpildīts, kā arī ja normatīvajos aktos par finanšu instrumenta ieviešanu plānotais līdzfinansējums projekta apstiprināšanas brīdī ir izlietots.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apliecinājumā sniegtas nepatiesas informācijas dēļ pret projekta iesniedzēju var tikt uzsāktas administratīva un finansiāla rakstura sankcijas.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sabiedrība ar ierobežotu atbildību "Vides investīciju fonds" normatīvajos aktos nodokļu un nodevu jomā noteiktajā kārtībā pieprasa (ja nepieciešams) vai iegūst no Valsts ieņēmumu dienesta informāciju, kas apliecina, ka projekta iesniedzējam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w:t>
    </w:r>
    <w:r>
      <w:br/>
    </w:r>
    <w:r w:rsidR="00000000" w:rsidRPr="00000000" w:rsidDel="00000000">
      <w:rPr>
        <w:rtl w:val="0"/>
      </w:rPr>
      <w:t xml:space="preserve">Izdrukāts 29.07.2026. 22.53 - 6.0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w:t>
    </w:r>
    <w:r>
      <w:br/>
    </w:r>
    <w:r w:rsidR="00000000" w:rsidRPr="00000000" w:rsidDel="00000000">
      <w:rPr>
        <w:rtl w:val="0"/>
      </w:rPr>
      <w:t xml:space="preserve">Izdrukāts 29.07.2026. 22.53 - 6.0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noteikumu_projekts_p2_25-TA-205.docx</dc:title>
</cp:coreProperties>
</file>

<file path=docProps/custom.xml><?xml version="1.0" encoding="utf-8"?>
<Properties xmlns="http://schemas.openxmlformats.org/officeDocument/2006/custom-properties" xmlns:vt="http://schemas.openxmlformats.org/officeDocument/2006/docPropsVTypes"/>
</file>