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28. augusta noteikumos Nr. 545 "Noteikumi par Latvijas būvnormatīvu LBN 202-18 "Būvniecības ieceres dokumentācijas noformēšana""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 panta pirmās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25. jūnija noteikumos Nr. 280 "Noteikumi par Latvijas būvnormatīvu LBN 002-19 "Ēku norobežojošo konstrukciju siltumtehnika""" (Latvijas Vēstnesis 2019/135.2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būvnormatīva 3.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Būvniecības informācijas sistēmā uzsāktai būvniecības iecerei būvniecības ieceres dokumentācijas grafiskās daļas datnes, tajā skaitā rūpnieciski ražotu ēku tehniskās pases grafisko daļu,  Būvniecības informācijas sistēmā augšupielādē vektordatnes (DWG vai DGN) formātā. Papildus attiecīgo failu ir pieļaujams augšupielādēt arī portatīvā dokumenta (PDF) formātā.";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25-TA-1431</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25-TA-1431</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noteikumu_(grozījumu)_projekts_25-TA-1431.docx</dc:title>
</cp:coreProperties>
</file>

<file path=docProps/custom.xml><?xml version="1.0" encoding="utf-8"?>
<Properties xmlns="http://schemas.openxmlformats.org/officeDocument/2006/custom-properties" xmlns:vt="http://schemas.openxmlformats.org/officeDocument/2006/docPropsVTypes"/>
</file>