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25. oktobrī (prot. Nr. 54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10. marta noteikumos Nr. 130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10. marta noteikumos Nr. 130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 (Latvijas Vēstnesis, 2020, 51. nr.; 2022, 34.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 atbalstīto kultūras un dabas mantojuma objektu un tūrisma objektu apmeklējumu skaita paredzamais pieaugums, salīdzinot ar 2015. gadu, – ne mazāk kā 18 000 apmeklējumi;".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 atbalstīto dabas un kultūras mantojuma objektu skaits – ne mazāk kā četri objekti;".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8.1.3.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 jaunradīto pakalpojumu skaits atbalstītajos kultūras un dabas mantojuma objektos – ne mazāk kā četri jaunradīti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Šo noteikumu 14.3. apakšpunktā minēto objektu Lielo ģildi Amatu ielā 6 atjauno pa posmiem, un specifiskā atbalsta ietvaros minētā objekta atjaunošanas pirmo posmu īsteno, sasniedzot specifiskā atbalsta uzraudzības rādītāju – izstrādāts un būvvaldē saskaņots objekta Lielās ģildes Amatu ielā 6 atjaunošanas darbu būvprojekts –, bet neparedzot šo noteikumu 8.1. apakšpunktā minēto iznākuma rādītāju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Specifiskā atbalsta ceturtās atlases kārtas ietvaros plānotais kopējais attiecināmais finansējums ir ne mazāk kā 8 055 897 </w:t>
      </w:r>
      <w:r w:rsidR="00000000" w:rsidRPr="00000000" w:rsidDel="00000000">
        <w:rPr>
          <w:i w:val="1"/>
          <w:rtl w:val="0"/>
        </w:rPr>
        <w:t xml:space="preserve">euro</w:t>
      </w:r>
      <w:r w:rsidR="00000000" w:rsidRPr="00000000" w:rsidDel="00000000">
        <w:rPr>
          <w:rtl w:val="0"/>
        </w:rPr>
        <w:t xml:space="preserve">, tai skaitā Eiropas Reģionālās attīstības fonda finansējums granta veidā – ne vairāk kā 6 847 512 </w:t>
      </w:r>
      <w:r w:rsidR="00000000" w:rsidRPr="00000000" w:rsidDel="00000000">
        <w:rPr>
          <w:i w:val="1"/>
          <w:rtl w:val="0"/>
        </w:rPr>
        <w:t xml:space="preserve">euro</w:t>
      </w:r>
      <w:r w:rsidR="00000000" w:rsidRPr="00000000" w:rsidDel="00000000">
        <w:rPr>
          <w:rtl w:val="0"/>
        </w:rPr>
        <w:t xml:space="preserve"> (tostarp 906 885 </w:t>
      </w:r>
      <w:r w:rsidR="00000000" w:rsidRPr="00000000" w:rsidDel="00000000">
        <w:rPr>
          <w:i w:val="1"/>
          <w:rtl w:val="0"/>
        </w:rPr>
        <w:t xml:space="preserve">euro </w:t>
      </w:r>
      <w:r w:rsidR="00000000" w:rsidRPr="00000000" w:rsidDel="00000000">
        <w:rPr>
          <w:rtl w:val="0"/>
        </w:rPr>
        <w:t xml:space="preserve">virssaistību finansējums) un nacionālais finansējums (valsts budžeta finansējums un pašvaldības finansējums) – 1 208 385 </w:t>
      </w:r>
      <w:r w:rsidR="00000000" w:rsidRPr="00000000" w:rsidDel="00000000">
        <w:rPr>
          <w:i w:val="1"/>
          <w:rtl w:val="0"/>
        </w:rPr>
        <w:t xml:space="preserve">euro.</w:t>
      </w:r>
      <w:r w:rsidR="00000000" w:rsidRPr="00000000" w:rsidDel="00000000">
        <w:rPr>
          <w:rtl w:val="0"/>
        </w:rPr>
        <w:t xml:space="preserve"> Pašvaldības finansējums var pārsniegt 15 procentus no projekta kopējām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Lielajai ģildei Amatu ielā 6 – ne vairāk kā 368 084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Rīgas pils Konventam (Kastelai) Pils laukumā 3 – ne vairāk kā 2 816 417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 Rīgas cirka vēsturiskajai ēkai Merķeļa ielā 4 – ne vairāk kā 1 243 789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Projekta iesniedzējs specifiskā atbalsta ceturtās atlases kārtas ietvaros ir pašvaldība, pašvaldības iestāde, valsts sabiedrība ar ierobežotu atbildību "Rīgas cirks" un valsts akciju sabiedrība "Valsts nekustamie īpašumi", kuras īpašumā, turējumā, lietošanā vai valdījumā atrodas kultūras mantojuma objekts, kurā plānotas investīcijas."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Ja projekta iesniedzējs pretendē uz komercdarbības atbalstu saskaņā ar Komisijas regulas Nr. 651/2014 53. pantu, projekta iesniedzējs veic izmaksu un ieguvumu analīzi atbilstoši atbildīgās iestādes izstrādātajiem metodiskajiem norādījumiem, ievērojot, ka projekta ekonomiskā ienesīguma norma ir lielāka par sociālo diskonta likmi un projekta ekonomiskā neto pašreizējā vērtība ir lielāka par nulli."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Ja projekts ir saistīts ar saimnieciskās darbības veikšanu un izveidotās infrastruktūras amortizācijas periodā (projekta dzīves cikla laikā) ieņēmumi no saimnieciskās darbības atbalstītajā objektā ir mazāki par 50 procentiem no kultūras jomas pakalpojumu sniedzēja gada budžeta atbalstītajā objektā, projekta iesniedzējam izmaksu un ieguvumu analīze nav jāveic."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Projekta ietvaros ir atbalstāma vides prasību integrācija preču, pakalpojumu un būvdarbu iepirkumos (zaļais publiskais iepirkums), lai nodrošinātu atbilstību horizontālā principa "Ilgtspējīga attīstība" projektu iesniegumu vērtēšanas kritērijam. Finansējuma saņēmējs un sadarbības partneris projekta ietvaros iepirkumus veic atbilstoši normatīvajiem aktiem publisko iepirkumu jomā, īstenojot atklātu, pārredzamu, nediskriminējošu un konkurenci nodrošinošu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"35.6. ar kultūras mantojumu saistītās iekštelpu un ārtelpu ekspozīcijas izmaksas, aprīkojuma iegādes un uzstādīšanas izmaksas, kas šo noteikumu 14.1., 14.2., 14.3. un 14.4. apakšpunktā minētajiem objektiem nepārsniedz 25 procentus no projekta kopējām attiecināmajām izmaksām, bet šo noteikumu 14.5. apakšpunktā minētajam objektam – 100 procentus no projekta kopējām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Šo noteikumu 35.2. apakšpunktā minētās izmaksas kopā nedrīkst pārsniegt 10 procentus no projekta kopējām attiecināmajām izmaksām, izņemot šo noteikumu 14.3. apakšpunktā minēto Lielās ģildes Amatu ielā 6 atjaunošanas projektu."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22-TA-2935</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22-TA-2935</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noteikumu_(grozījumu)_projekts_22-TA-2935.docx</dc:title>
</cp:coreProperties>
</file>

<file path=docProps/custom.xml><?xml version="1.0" encoding="utf-8"?>
<Properties xmlns="http://schemas.openxmlformats.org/officeDocument/2006/custom-properties" xmlns:vt="http://schemas.openxmlformats.org/officeDocument/2006/docPropsVTypes"/>
</file>