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592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19. septembrī (prot. Nr. 37 61.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Latvenergo koncerna kopējo personāla izmaksu palielinājumu 2025. gadā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 </w:t>
      </w:r>
      <w:r w:rsidR="00000000" w:rsidRPr="00000000" w:rsidDel="00000000">
        <w:rPr>
          <w:rtl w:val="0"/>
        </w:rPr>
        <w:t xml:space="preserve">likuma "Par valsts budžetu 2025. gadam un budžeta ietvaru 2025., 2026. un 2027. gadam" 82. pantu</w:t>
      </w:r>
      <w:r w:rsidR="00000000" w:rsidRPr="00000000" w:rsidDel="00000000">
        <w:rPr>
          <w:rtl w:val="0"/>
        </w:rPr>
        <w:t xml:space="preserve">, atļaut 2025. gadā Latvenergo koncerna kopējās personāla izmaksas palielināt par 4,9 procentiem salīdzinājumā ar iepriekšējo pārskata gadu.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25-TA-234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25-TA-234</w:t>
    </w:r>
    <w:r>
      <w:br/>
    </w:r>
    <w:r w:rsidR="00000000" w:rsidRPr="00000000" w:rsidDel="00000000">
      <w:rPr>
        <w:rtl w:val="0"/>
      </w:rPr>
      <w:t xml:space="preserve">Izdrukāts 29.07.2026. 22.46 - 1.0.VK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