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ceturtās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4.1.1. specifiskā atbalsta mērķa "Nodrošināt vienlīdzīgu piekļuvi veselības aprūpei un stiprināt veselības sistēmu, tostarp primārās veselības aprūpes noturību" (turpmāk – specifiskais atbalsta mērķis) 4.1.1.1. pasākuma "Ārstniecības iestāžu infrastruktūras attīstība" ceturto kārtu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 un nacionālā līdzfinansējuma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iesniedzējiem un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 tostarp komercdarbības atbalsta piešķiršanas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projektu iesniegumu atlasi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plānotais atbalsta veids ir grants (dotācija).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Pasākuma mērķis un plānotie rādītāji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mērķis ir nodrošināt vienlīdzīgu piekļuvi veselības aprūpei un stiprināt veselības sistēmu, attīstot valsts apmaksātās sekundārās ambulatorās veselības aprūpes pakalpojumu sniedzēju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 visi Latvijas iedzīvotāji, veselības aprūpes pakalpojumu sniedzēji un ārstniecības iestādes, kas sniedz valsts apmaksātos veselības aprūpes diagnostiskos izmeklējumus sirds un asinsvadu jomā un/vai pēcskrīninga izmeklējumus onkoloģijas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rezultāta rādītājs ir to personu skaits gadā, kuras izmanto jaunu vai modernizētu veselības aprūpes iestāžu pakalpojumus, nodrošinot, ka līdz 2029. gada 31. decembrim jaunu vai modernizētu veselības aprūpes iestāžu pakalpojumus izmanto 473 681 lietotājs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Specifiskā atbalsta mērķa iznākuma rādītājs ir jaunu vai modernizētu veselības aprūpes iestāžu kapacitāte, tai skaitā pasākuma ietvaros nodrošinot, ka līdz 2029. gada 31. decembrim izveidotās vai uzlabotās veselības aprūpes iestādes vismaz vienu reizi gada laikā apmeklēs 521 049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Specifiskā atbalsta mērķa iznākuma rādītājs ir noslēgto līgumu īpatsvars par ieguldījumiem veselības aprūpes infrastruktūras objektos, tai skaitā pasākuma ietvaros nodrošinot, ka līdz 2029. gada 31. decembrim noslēgti līgumi 100 procentu apmērā no specifiskā atbalsta mērķim pieejamā kopējā attiecināmā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plānotais un pieejamais kopējais finansējums ir 4 300 047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3 346 264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953 783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Maksimālais attiecināmais Eiropas Reģionālās attīstības fonda finansējuma apmērs nav lielāks par 85 procentiem, bet nacionālais finansējums, kas iekļauj valsts budžeta un privāto finansējumu, nav mazāks par 15 procentiem no šo noteikumu </w:t>
      </w:r>
      <w:r w:rsidR="00000000" w:rsidRPr="00000000" w:rsidDel="00000000">
        <w:rPr>
          <w:rtl w:val="0"/>
        </w:rPr>
        <w:t xml:space="preserve">11.</w:t>
      </w:r>
      <w:r w:rsidR="00000000" w:rsidRPr="00000000" w:rsidDel="00000000">
        <w:rPr>
          <w:rtl w:val="0"/>
        </w:rPr>
        <w:t xml:space="preserve"> punktā minētā pasākumam plānotā un pieejamā kopējā attiecināmā finansējuma. Attiecināmais nacionālais privātais finansējuma saņēmēja līdzfinansējums katram projektam tiek noteikts saskaņā ar šo noteikumu </w:t>
      </w:r>
      <w:r w:rsidR="00000000" w:rsidRPr="00000000" w:rsidDel="00000000">
        <w:rPr>
          <w:rtl w:val="0"/>
        </w:rPr>
        <w:t xml:space="preserve">36.</w:t>
      </w:r>
      <w:r w:rsidR="00000000" w:rsidRPr="00000000" w:rsidDel="00000000">
        <w:rPr>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Komercdarbības atbalsta piešķiršanas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finansējuma saņēmējiem komercdarbības atbalstu piešķir atbilstoši šīs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atbilstoši normatīvajiem aktiem par veselības aprūpes organizēšanu un samaksu ir noslēdzis ar Nacionālo veselības dienestu (turpmāk – pilnvarojuma uzlicējs) deleģēšanas līgumu par vispārējas tautsaimnieciskas nozīmes pakalpojuma (turpmāk – sabiedriskie pakalpojumi) sniegšanu.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nepieciešamo sabiedrisko pakalpojumu sniegšanas infrastruktūru;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sniedzējam piešķirto ekskluzīvo vai īpašo tiesību būtību, ja tas sniedz pakalpojumu ar vispārēju tautsaimniecisku nozīmi;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projektam pievieno vispārējas tautsaimnieciskas nozīmes pakalpojuma sniegšanas pilnvarojuma uzlicēja apliecinājumu, ka tas kontrolēs un pārskatīs šo noteikumu </w:t>
      </w:r>
      <w:r w:rsidR="00000000" w:rsidRPr="00000000" w:rsidDel="00000000">
        <w:rPr>
          <w:rtl w:val="0"/>
        </w:rPr>
        <w:t xml:space="preserve">14.6.</w:t>
      </w:r>
      <w:r w:rsidR="00000000" w:rsidRPr="00000000" w:rsidDel="00000000">
        <w:rPr>
          <w:rtl w:val="0"/>
        </w:rPr>
        <w:t xml:space="preserve"> apakšpunktā minētos deleģēšanas līgumā paredzētos atlīdzības (kompensācijas) maksājumus, kā arī novērsīs un atgūs deleģēšanas līgumā paredzēto atlīdzības (kompensācijas) maksājumu pārmaksu regulāri, bet ne retāk kā reizi trijos gados un pilnvarojuma akta darbības perioda beigās veicot līgumā noteiktās pārbaudes.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atbalsta sniedzējam projekta ietvaros saņemto nelikumīgo komercdarbības atbalstu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sadarbības iestādei ir pienākums dokumentāciju, kas saistīta ar komercdarbības atbalsta piešķiršanu, glabāt 10 gadus no atbalsta piešķiršanas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komercdarbības atbalstu drīkst kumulēt ar citu komercdarbības atbalstu, ko piešķir par pakalpojuma ar vispārēju tautsaimniecisku nozīmi sniegšanu, citas atbalsta programmas vai individuālā atbalsta projekta ietvaros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komercdarbības atbalsta piešķiršanas dienu ir uzskatāma diena, kad sadarbības iestāde pieņem lēmumu par projekta apstiprināšanu vai sniedz atzinumu par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nevar pretendēt uz atbalsta saņemšanu, ja tas atbilst grūtībās nonākuša komersanta statusam saskaņā ar Komisijas 2014. gada 17. jūnija Regulas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18. punktu. Grūtībās nonākuša uzņēmuma pazīmes projekta iesniedzējam tiek vērtētas individuāli un tā saistīto personu grupai (ja attiecināms) – saskaņā ar Komisijas regulas Nr.  </w:t>
      </w:r>
      <w:r w:rsidR="00000000" w:rsidRPr="00000000" w:rsidDel="00000000">
        <w:rPr>
          <w:rtl w:val="0"/>
        </w:rPr>
        <w:t xml:space="preserve">651/2014</w:t>
      </w:r>
      <w:r w:rsidR="00000000" w:rsidRPr="00000000" w:rsidDel="00000000">
        <w:rPr>
          <w:rtl w:val="0"/>
        </w:rPr>
        <w:t xml:space="preserve"> I pielikuma 3. panta 3.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saņēmējs projektam pievieno apliecinājumu, ka attiecībā uz to nepastāv Maksātnespējas likumā noteiktie ierobežojumi tiesiskās aizsardzības procesa lietas ierosināšanai un pasludināšanai un finansējuma saņēmējam nav ierosināta maksātnespējas procesa lieta.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pasākuma ietvaros ir šo noteikumu </w:t>
      </w:r>
      <w:r w:rsidR="00000000" w:rsidRPr="00000000" w:rsidDel="00000000">
        <w:rPr>
          <w:rtl w:val="0"/>
        </w:rPr>
        <w:t xml:space="preserve">pielikumā</w:t>
      </w:r>
      <w:r w:rsidR="00000000" w:rsidRPr="00000000" w:rsidDel="00000000">
        <w:rPr>
          <w:rtl w:val="0"/>
        </w:rPr>
        <w:t xml:space="preserve"> minētā ārstniecības iestāde, kas sniedz valsts apmaksātos sekundārās ambulatorās veselības aprūpes pakalpojumus, tai skaitā diagnostiskos izmeklējumus sirds un asinsvadu jomā un/vai pēcskrīninga izmeklējumus onkoloģijas jomā, un nav finansējuma saņēmējs citās Eiropas Savienības kohēzijas politikas programmas 2021.–2027. gadam specifiskā atbalsta mērķa 4.1.1.1. pasākuma "Ārstniecības iestāžu infrastruktūras attīstība" atlases kārtās.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nolikumā noteiktajām prasībām un iesniedz to sadarbības iestādē, izmantojot Kohēzijas politikas fondu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Projektu iesniegumu vērtēšanas komisijā sadarbības iestāde iekļauj pārstāvi no Veselības ministrijas kā nozares pārstāvi, kā arī pārstāvi no Nacionālā veselības dienesta.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Sadarbības iestāde pasākuma projektu iesniegumu atlases ietvaros organizē ierobežotu projektu iesniegumu atlasi, uzaicinot tajā piedalīties šo noteikumu </w:t>
      </w:r>
      <w:r w:rsidR="00000000" w:rsidRPr="00000000" w:rsidDel="00000000">
        <w:rPr>
          <w:rtl w:val="0"/>
        </w:rPr>
        <w:t xml:space="preserve">pielikumā</w:t>
      </w:r>
      <w:r w:rsidR="00000000" w:rsidRPr="00000000" w:rsidDel="00000000">
        <w:rPr>
          <w:rtl w:val="0"/>
        </w:rPr>
        <w:t xml:space="preserve"> minētos projektu iesniedzējus. Projekta iesniedzējs pasākuma ietvaros var iesniegt tikai vienu projekta iesniegumu par visu projekta iesniedzējam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Pasākuma atbalstāmās darbības un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attīstītu infrastruktūru, kurā tiek nodrošināti valsts apmaksāti veselības aprūpes pakalpojumi, pasākuma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prasību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w:t>
      </w:r>
      <w:r w:rsidR="00000000" w:rsidRPr="00000000" w:rsidDel="00000000">
        <w:rPr>
          <w:rtl w:val="0"/>
        </w:rPr>
        <w:t xml:space="preserve"> apakšpunktā minētās atbalstāmās darbības ietvaros ir attiecināmas šādas ar būvniecību saistītas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izmaksas, funkcionālā plānojuma un tehniskās specifikācijas izstrādes izmaksas, būvprojekta minimālā sastāvā un būvprojekta izstrādes izmaksas, projekta ekspertīžu izmaksas, autoruzraudzības un būvuzraudzības izmaksas, vides un informācijas piekļūstamības ekspertu konsultāciju un būvniecības jomu regulējošajos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izmaksas, tai skaitā demontāžas izmaksas un izmaksas, kas saistītas ar objektu nodošanu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apakšpunktā minētās izmaksas nepārsniedz 10 procentus no projekta kopējām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w:t>
      </w:r>
      <w:r w:rsidR="00000000" w:rsidRPr="00000000" w:rsidDel="00000000">
        <w:rPr>
          <w:rtl w:val="0"/>
        </w:rPr>
        <w:t xml:space="preserve"> apakšpunktā minētās atbalstāmās darbības ietvaros ir attiecināmas medicīnas tehnoloģiju un iekārtu iegādes, piegādes un montāžas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Projektā attiecinot medicīniskās tehnoloģijas, kuru vienas vienības piegādes izmaksas pārsniedz 20 000 </w:t>
      </w:r>
      <w:r w:rsidR="00000000" w:rsidRPr="00000000" w:rsidDel="00000000">
        <w:rPr>
          <w:i w:val="1"/>
          <w:rtl w:val="0"/>
        </w:rPr>
        <w:t xml:space="preserve">euro</w:t>
      </w:r>
      <w:r w:rsidR="00000000" w:rsidRPr="00000000" w:rsidDel="00000000">
        <w:rPr>
          <w:rtl w:val="0"/>
        </w:rPr>
        <w:t xml:space="preserve">, ieskaitot pievienotās vērtības nodokli, nepieciešams Veselības ministrijas izveidotās tehnoloģiju komisijas saskaņojums.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Projektā nav attiecināmas šādas medicīniskās tehnoloģijas: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magnētiskā rezonanse;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datortomogrāfs;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angiogrāfs.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26.3.</w:t>
      </w:r>
      <w:r w:rsidR="00000000" w:rsidRPr="00000000" w:rsidDel="00000000">
        <w:rPr>
          <w:rtl w:val="0"/>
        </w:rPr>
        <w:t xml:space="preserve"> apakšpunktā minētā atbalstāmā darbība ietver komunikācijas un vizuālās identitātes prasību nodrošināšanas izmaksas atbilstoši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47. un 50. pantā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Pievienotās vērtības nodoklis, kas tiešā veidā saistīts ar projektu, uzskatāms par attiecināmām izmaksām saskaņā ar Regulas Nr. 2021/1060 64. panta 1. punkta "c" apakšpunktā ietvertajiem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pēc tam, kad noslēgts līgums par projekta īstenošanu. Projekta iesniegumā neiekļauj un finansējumu nepiešķir darbībām, kas pabeigtas pirms projekta iesnieguma iesniegšanas sadarbības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projekta izmaksas pārsniedz 1 000 000 </w:t>
      </w:r>
      <w:r w:rsidR="00000000" w:rsidRPr="00000000" w:rsidDel="00000000">
        <w:rPr>
          <w:i w:val="1"/>
          <w:rtl w:val="0"/>
        </w:rPr>
        <w:t xml:space="preserve">euro</w:t>
      </w:r>
      <w:r w:rsidR="00000000" w:rsidRPr="00000000" w:rsidDel="00000000">
        <w:rPr>
          <w:rtl w:val="0"/>
        </w:rPr>
        <w:t xml:space="preserve">, projekta iesniedzējs veic izmaksu un ieguvumu analīzi, ievērojot, ka projekta ekonomiskā ienesīguma norma ir lielāka par sociālo diskonta likmi un projekta ekonomiskā neto pašreizējā vērtība ir lielāka par nulli, un pievieno to projekta iesniegumam.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Pasākuma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w:t>
      </w:r>
      <w:r w:rsidR="00000000" w:rsidRPr="00000000" w:rsidDel="00000000">
        <w:rPr>
          <w:rtl w:val="0"/>
        </w:rPr>
        <w:t xml:space="preserve"> punktu finansējuma saņēmējs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809750" cy="6762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809750" cy="676275"/>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x </w:t>
      </w:r>
      <w:r w:rsidR="00000000" w:rsidRPr="00000000" w:rsidDel="00000000">
        <w:rPr>
          <w:rtl w:val="0"/>
        </w:rPr>
        <w:t xml:space="preserve">– gadu skaits, kuriem tika aprēķināts projekta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685925" cy="5810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685925" cy="581025"/>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infrastruktūras izmantošanas proporcijas aprēķinu iesniedz sadarbības iestādei: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noslēguma maksājuma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pēc līguma par projekta īstenošanu noslēgšanas palielinās projekta publisko izmaksu maksimālais apmērs, kas aprēķināts saskaņā ar šo noteikumu </w:t>
      </w:r>
      <w:r w:rsidR="00000000" w:rsidRPr="00000000" w:rsidDel="00000000">
        <w:rPr>
          <w:rtl w:val="0"/>
        </w:rPr>
        <w:t xml:space="preserve">36.1.</w:t>
      </w:r>
      <w:r w:rsidR="00000000" w:rsidRPr="00000000" w:rsidDel="00000000">
        <w:rPr>
          <w:rtl w:val="0"/>
        </w:rPr>
        <w:t xml:space="preserve"> apakšpunktu, valsts atbalsta sniedzējs kopējās publiskās projekta attiecināmās izmaksas nepalielina.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iesniedzot noslēguma maksājuma pieprasījumu, nodrošina, ka saskaņā ar šo noteikumu </w:t>
      </w:r>
      <w:r w:rsidR="00000000" w:rsidRPr="00000000" w:rsidDel="00000000">
        <w:rPr>
          <w:rtl w:val="0"/>
        </w:rPr>
        <w:t xml:space="preserve">36.1.</w:t>
      </w:r>
      <w:r w:rsidR="00000000" w:rsidRPr="00000000" w:rsidDel="00000000">
        <w:rPr>
          <w:rtl w:val="0"/>
        </w:rPr>
        <w:t xml:space="preserve"> apakšpunktu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11.</w:t>
      </w:r>
      <w:r w:rsidR="00000000" w:rsidRPr="00000000" w:rsidDel="00000000">
        <w:rPr>
          <w:rtl w:val="0"/>
        </w:rPr>
        <w:t xml:space="preserve"> punktā minēto nacionālo privāto 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26.3.</w:t>
      </w:r>
      <w:r w:rsidR="00000000" w:rsidRPr="00000000" w:rsidDel="00000000">
        <w:rPr>
          <w:rtl w:val="0"/>
        </w:rPr>
        <w:t xml:space="preserve"> apakšpunktā minētos komunikācijas un vizuālās identitātes prasību nodrošināšanas pasākumus saskaņā ar Regulas Nr. 2021/1060 47. un 50. pantu un normatīvo aktu par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horizontālā principa "Vienlīdzība, iekļaušana, nediskriminācija un pamattiesību ievērošana" īstenošanu un uzkrāj datus par rādītāju "objektu skaits, kuros Eiropas Reģionālās attīstības fonda ieguldījumu rezultātā ir nodrošināta vides un informācijas pieejamība" (ja attiecināms). Finansējuma saņēmējam, iesniedzot noslēguma maksājuma pieprasījumu, ir pienākums sniegt minēto informāciju par visu projekta periodu;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projekta sadārdzinājumu sedz no saviem līdzekļiem, nodrošinot piemērojamo komercdarbības atbalsta regulējuma normu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dubultā finansējuma neiestāšanos un 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faktiski sasniegto šo noteikumu </w:t>
      </w:r>
      <w:r w:rsidR="00000000" w:rsidRPr="00000000" w:rsidDel="00000000">
        <w:rPr>
          <w:rtl w:val="0"/>
        </w:rPr>
        <w:t xml:space="preserve">8.</w:t>
      </w:r>
      <w:r w:rsidR="00000000" w:rsidRPr="00000000" w:rsidDel="00000000">
        <w:rPr>
          <w:rtl w:val="0"/>
        </w:rPr>
        <w:t xml:space="preserve"> punktā minēto rādītāju;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sasniegto rezultātu ilgtspēju vismaz piecus gadus pēc noslēguma maksājuma veikšanas;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īpašumā vai ka būvniecība tiek veikta uz lietošanas, valdījuma vai uz zemesgrāmatā ierakstītas lietu tiesības pamata, saskaņojot būvniecības ieceri ar projekta īstenošanai nepieciešamo nekustamo īpašumu īpašniekiem atbilstoši normatīvo aktu nosacījumiem būvniecības jomā. Finansējuma saņēmēja tiesībām uz konkrēto īpašumu jābūt nostiprinātām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veic atklātā, pārredzamā, nediskriminējošā, konkurenci nodrošinošā un atbilstoši iespējām sociāli atbildīgā veidā, kā arī saskaņā ar normatīvajiem aktiem publisko iepirkumu jomā, ievērojot nediskriminācijas principus. Projekta ietvaros ir atbalstāma vides prasību un inovatīva risinājuma integrēšana preču un pakalpojuma iepirkumos (inovāciju publiskais iepirkums);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izstrādā nosacījumus, kā tas pārliecinās par interešu konflikta, krāpšanas un korupcijas risku neesību, tostarp identificē apstākļus, kuri izraisa vai var izraisīt interešu konfliktu un krāpšanas un korupcijas riskus, kas rada apdraudējumu vai kaitējumu projekta īstenošanā, nosaka veicamos pasākumus un izstrādā darbības plānu interešu konflikta un krāpšanas un korupcijas risku preventīvai novēršanai un gadījumiem, kad interešu konflikts, krāpšana vai korupcija ir atklāta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atsevišķu grāmatvedības uzskaiti par finansējuma izlietojumu projektā, nodalot tā ietvaros veiktās darbības no citas saimnieciskās darbības.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 ja tai ir pieejami valsts budžeta līdzekļi, pēc plānotā avansa apmēra un tā pamatojuma izvērtēšanas, pamatojoties uz finansējuma saņēmēja rakstisku avansa pieprasījumu, var piešķirt finansējuma saņēmējam avansu pēc tam, kad ir noslēgts līgums par projekta īstenošanu. Finansējuma saņēmējs avansa pieprasījumu sagatavo un sadarbības iestāde to apstiprina, ņemot vērā nosacījumu, ka plānotā avansa apmērs atbilst spējai to izlietot sešu mēnešu laikā saimnieciskā gada ietvaros. Finansējuma saņēmējam avansu var piešķirt līdz 30 procentiem no projektam piešķirtā Eiropas Reģionālās attīstības fonda finansējuma un valsts budžeta līdzfinansējuma kopsummas, ievērojot, ka avansu var izmaksāt vairākos maksājumos un avansa un starpposma maksājumu kopsumma nepārsniedz 90 procentus no projektam piešķirtā Eiropas Reģionālās attīstības fonda finansējuma apmēra un valsts budžeta līdzfinansējuma kopsummas.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Pasākuma ietvaros projektu īsteno saskaņā ar līgumu par projekta īstenošanu, kas noslēgts starp finansējuma saņēmēju un sadarbības iestādi, bet ne ilgāk kā līdz 2029.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25-TA-1867</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25-TA-1867</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noteikumu_konsolidētā_versija_25-TA-1867.docx</dc:title>
</cp:coreProperties>
</file>

<file path=docProps/custom.xml><?xml version="1.0" encoding="utf-8"?>
<Properties xmlns="http://schemas.openxmlformats.org/officeDocument/2006/custom-properties" xmlns:vt="http://schemas.openxmlformats.org/officeDocument/2006/docPropsVTypes"/>
</file>