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jūnijā (prot. Nr. 23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Rātsupītes ielā 5B, Rīgā,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un Meža likuma 44. panta ceturtās daļas 2. punkta "c" apakšpunktu atļaut Finanšu ministrijai nodot bez atlīdzības Rīgas valstspilsētas pašvaldības īpašumā nekustamo īpašumu (nekustamā īpašuma kadastra Nr. 0100 104 0251) – zemes vienību (zemes vienības kadastra apzīmējums 0100 104 0241) 0,6997 ha platībā, tai skaitā meža zemi 0,6997 ha platībā, – Rātsupītes ielā 5B, Rīgā, kas ierakstīts zemesgrāmatā uz valsts vārda Finanšu ministrijas personā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saskaņā ar Publiskas personas mantas atsavināšanas likuma 42. panta pirmo daļu un Meža likuma 44. panta ceturtās daļas 2. punkta "c" apakšpunktu nekustamo īpašumu izmantot parku ierīkošanai un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nekustamo īpašumu bez atlīdzības nodot valstij, ja tas vairs netiek izmantots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lietu tiesībām un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25-TA-175</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25-TA-175</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rīkojuma_projekts_25-TA-175.docx</dc:title>
</cp:coreProperties>
</file>

<file path=docProps/custom.xml><?xml version="1.0" encoding="utf-8"?>
<Properties xmlns="http://schemas.openxmlformats.org/officeDocument/2006/custom-properties" xmlns:vt="http://schemas.openxmlformats.org/officeDocument/2006/docPropsVTypes"/>
</file>