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835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10. decembrī (prot. Nr. 51 61.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apropriācijas pārdali 2025. gadā no Izglītības un zinātnes ministrijas budžeta apakšprogrammas 05.01.00 "Zinātniskās darbības nodrošināšana" prioritārā pasākuma "Valsts pētījumu programmas īstenošana (IZM, ZM, VARAM, KM, VM)" 232 462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budžeta apakšprogrammas 03.03.00 "Snieguma finansējums par rezultātiem pētniecībā un absolventu sagatavošanā" prioritārā pasākuma "Snieguma finansējuma Augstākā izglītībā un zinātnē īpatsvara pakāpeniska palielināšana" 35 772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un budžeta apakšprogrammas 03.01.00 "Augstākās izglītības programmu nodrošināšana" prioritārā pasākuma "Augstākā izglītība" 44 449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uz budžeta apakšprogrammu 09.23.00 "Valsts ilgtermiņa saistības sportā – dotācija Latvijas Olimpiskajai komitejai (LOK) – valsts galvoto aizdevumu atmaksai" kopā 312 683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apmērā, lai atmaksātu valsts galvotā aizdevuma 2026. gada maksājuma daļu, tādējādi nodrošinot 2026. gadā paredzēto saistību izpildi 2025.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normatīvajos aktos noteiktajā kārtībā sagatavot un iesniegt Finanšu ministrijā pieprasījumu valsts budžeta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Melbārde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25-TA-2779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25-TA-2779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