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slimības, pēc kuru konstatēšanas veic personas medicīnisko un laboratorisko pārbaudi citas infekcijas slimības noteikšanai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08.09.2009. noteikumu Nr.1024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4820"/>
        <w:gridCol w:w="4242"/>
        <w:tblGridChange w:id="0">
          <w:tblGrid>
            <w:gridCol w:w="578"/>
            <w:gridCol w:w="4820"/>
            <w:gridCol w:w="4242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Konstatētā      infekcijas slimība     (kods atbilstoši Starptautiskajam slimību klasifikatoram – SSK-10)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Slimība,      kuras noteikšanai veic pacienta veselības pārbaudi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Cilvēka      imūndeficīta vīrusa (HIV) infekcija un bezsimptomu inficēšanās ar HIV (Z21, R75)</w:t>
            </w:r>
          </w:p>
        </w:tc>
        <w:tc>
          <w:tcPr>
            <w:shd w:fill="ffffff"/>
            <w:vAlign w:val="center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Iegūts      imūndeficīta sindroms (B20-B24) 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Tuberkuloze (A15–A19)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"/>
                <w:rtl w:val="0"/>
              </w:rPr>
              <w:t xml:space="preserve">HIV infekcija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noteikumu_konsolidētā_versija_p2_1_22-TA-1810.docx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