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probācijas dienesta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probācijas dienesta likumā (Latvijas Republikas Saeimas un Ministru Kabineta Ziņotājs, 2004, 2. nr.; 2005, 8. nr.; 2006, 24. nr.; 2008, 24. nr.; 2009, 2., 14., 16. nr.; Latvijas Vēstnesis, 2010, 183. nr.; 2011, 120. nr.; 2012, 189. nr.; 2014, 204., 257. nr.; 2015, 11., 118., 248. nr.; 2017, 194., 236. nr.; 2022, 207. nr.; 2024, 52.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sesto,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veiktu pētījumu vai statistikas rādītāju analīzi, Valsts probācijas dienestam ir tiesības iegūt no Iekšlietu ministrijas Informācijas centra informāciju par esošo un bijušo probācijas klientu sodāmību un uzsāktajiem kriminālprocesiem, kā arī informāciju, kas raksturo kriminālprocesa gaitu, personas vainas atzīšanu un tiesībsargājošo institūciju atbildes reakciju uz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veiktu pētījumu vai statistikas rādītāju analīzi, Valsts probācijas dienestam ir tiesības iegūt no Ieslodzījuma vietu pārvaldes informāciju par esošo un bijušo probācijas klientu brīvības atņemšanas soda izpildes gaitu un tās laikā pieļautajiem pārkāpumiem, kā arī par plānotajiem resocializācijas pasākumiem, to izpildes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probācijas dienestam šajā pantā minētā pētījuma vai statistikas rādītāju analīzes veikšanas nolūkā ir tiesības nodot pētījuma izstrādātājiem šā panta piektajā un sestajā daļā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probācijas dienestam šajā pantā minētā pētījuma veikšanas nolūkā ir tiesības nodot pētījuma izstrādātājiem esošo un bijušo probācijas klientu identifikācijas datus un kontaktinformāciju, kā arī esošo un bijušo probācijas klientu likumisko pārstāvju identifikācijas datus un kontaktinformāciju."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otrās daļas 8.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sniegt informāciju par nepilngadīgā probācijas klienta, kuram ir piemērots audzinoša rakstura piespiedu līdzeklis – probācijas novērošana –, vārdu, uzvārdu, dzimšanas datumu, tālruņa numuru un elektroniskā pasta adresi, likumiskajiem pārstāvjiem, to vārdu, uzvārdu, tālruņa numuru un elektroniskā pasta adresi, apstākļiem, kas veicinājuši noziedzīga nodarījuma izdarīšanu, un resursiem, kas veicina probācijas klienta iekļaušanos sabiedrībā, pakalpojuma sniedzējam, lai nodrošinātu nepilngadīgā probācijas klienta sociālās uzvedības korekcijas un sociālās rehabilitācijas pakalpojumus;".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informatīvu atsauci uz Eiropas Savienības direktīvu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23-TA-3210</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23-TA-3210</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likumprojekts_(grozījumi)_23-TA-3210.docx</dc:title>
</cp:coreProperties>
</file>

<file path=docProps/custom.xml><?xml version="1.0" encoding="utf-8"?>
<Properties xmlns="http://schemas.openxmlformats.org/officeDocument/2006/custom-properties" xmlns:vt="http://schemas.openxmlformats.org/officeDocument/2006/docPropsVTypes"/>
</file>