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janvārī (prot. Nr. 4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4.1.1. specifiskā atbalsta mērķa "Nodrošināt vienlīdzīgu piekļuvi veselības aprūpei un stiprināt veselības sistēmu, tostarp primārās veselības aprūpes noturību" (turpmāk – specifiskais atbalsta mērķis) 4.1.1.3. pasākuma "Primārās veselības aprūpes lomas stiprināšana, attīstot infrastruktūru" pirmo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un finansējuma saņēmējiem un projekta sadarbības partneriem (ja tos piesaista);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projektu iesniegumu atlasi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nodrošināt vienlīdzīgu piekļuvi veselības aprūpei un stiprināt veselības sistēmu, attīstot primārās veselības aprūpes infrastruktūru.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visi Latvijas iedzīvotāji un ārstniecības iestādes.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rezultāta rādītājs ir "personu skaits gadā, kuras izmanto jaunas vai modernizētas veselības aprūpes iestādes pakalpojumus", nodrošinot, ka līdz 2029. gada 31. decembrim 9000 personas gadā izmanto jaunas vai modernizētas veselības aprūpes iestādes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mērķa iznākuma rādītājs ir "jaunu vai modernizētu veselības aprūpes iestāžu kapacitāte", pasākuma ietvaros nodrošinot, ka līdz 2029. gada 31. decembrim izveidotās vai uzlabotās veselības aprūpes iestādes vismaz vienu reizi gada laikā apmeklē 9900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mērķa iznākuma rādītājs ir "noslēgto līgumu īpatsvars par ieguldījumiem veselības aprūpes infrastruktūras objektos", pasākuma ietvaros nodrošinot, ka līdz 2029. gada 31. decembrim ir noslēgti līgumi 100 procentu apmērā no specifiskajam atbalsta mērķim pieejamā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un pieejamais kopējais finansējums ir 2 400 000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2 040 000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 360 000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minētajam finansējuma saņēmējam plānotais un pieejamais kopējais finansējums ir 1 200 000</w:t>
      </w:r>
      <w:r w:rsidR="00000000" w:rsidRPr="00000000" w:rsidDel="00000000">
        <w:rPr>
          <w:i w:val="1"/>
          <w:rtl w:val="0"/>
        </w:rPr>
        <w:t xml:space="preserve"> euro</w:t>
      </w:r>
      <w:r w:rsidR="00000000" w:rsidRPr="00000000" w:rsidDel="00000000">
        <w:rPr>
          <w:rtl w:val="0"/>
        </w:rPr>
        <w:t xml:space="preserve">, tai skaitā Eiropas Reģionālās attīstības fonda finansējums ir 1 020 000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 180 000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w:t>
      </w:r>
      <w:r w:rsidR="00000000" w:rsidRPr="00000000" w:rsidDel="00000000">
        <w:rPr>
          <w:rtl w:val="0"/>
        </w:rPr>
        <w:t xml:space="preserve"> apakšpunktā minētajam finansējuma saņēmējam plānotais un pieejamais kopējais finansējums ir 1 200 000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1 020 000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 180 000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projektā plānotā kopējā attiecināmā finansējuma, un nacionālais finansējums, kas iekļauj valsts budžeta un privāto līdzfinansējumu, ir vismaz 15 procentu apmērā no projektā plānotā kopējā attiecināmā finansējuma. Attiecināmais nacionālais privātais līdzfinansējums projektam tiek noteikts saskaņā ar šo noteikumu </w:t>
      </w:r>
      <w:r w:rsidR="00000000" w:rsidRPr="00000000" w:rsidDel="00000000">
        <w:rPr>
          <w:rtl w:val="0"/>
        </w:rPr>
        <w:t xml:space="preserve">46.</w:t>
      </w:r>
      <w:r w:rsidR="00000000" w:rsidRPr="00000000" w:rsidDel="00000000">
        <w:rPr>
          <w:rtl w:val="0"/>
        </w:rPr>
        <w:t xml:space="preserve">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minētajam finansējuma saņēmējam un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minētajiem sadarbības partneriem (ja attiecināms), kuri plāno attīstīt ēku vai daļu ēkas tādas ģimenes ārsta prakses infrastruktūras attīstībai, kurai ir uzticēts sniegt pakalpojumus ar vispārēju tautsaimniecisku nozīmi, komercdarbības atbalsts tiek piešķirts atbilstoši šīs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un (vai) sadarbības partneris (ja attiecināms) atbilstoši normatīvajiem aktiem par veselības aprūpes organizēšanu un samaksu ir noslēdzis ar Nacionālo veselības dienestu (turpmāk – pilnvarojuma uzlicējs) deleģēšanas līgumu par sabiedrisko pakalpojumu sniegšanu. Līgumā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nepieciešamo sabiedrisko pakalpojumu sniegšanas infrastruktūru;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sniedzējam piešķirto ekskluzīvo vai īpašo tiesību būtību, ja tas sniedz pakalpojumus ar vispārēju tautsaimniecisku nozīmi;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 </w:t>
      </w:r>
      <w:r w:rsidR="00000000" w:rsidRPr="00000000" w:rsidDel="00000000">
        <w:rPr>
          <w:rtl w:val="0"/>
        </w:rPr>
        <w:t xml:space="preserve">apakšpunktā minētais projekta iesniedzējs,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minētais sadarbības partneris projektam pievieno vispārējas tautsaimnieciskas nozīmes pakalpojumu sniegšanas pilnvarojuma uzlicēja apliecinājumu, ka tas kontrolēs un regulāri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regulāri, bet ne retāk kā reizi trijos gados un pilnvarojuma akta darbības perioda beigās atgūs deleģēšanas līgumā paredzēto atlīdzības (kompensācijas) maksājumu pārmaksu.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Pilnvarojuma uzlicējam, finansējuma saņēmējam un sadarbības partnerim ir pienākums dokumentāciju par saņemto komercdarbības atbalstu glabāt 10 gadus no pilnvarojuma termiņa beigām, savukārt sadarbības iestādei ir pienākums dokumentāciju, kas saistīta ar komercdarbības atbalsta piešķiršanu, glabāt 10 gadus no atbalsta piešķiršanas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komercdarbības atbalstu drīkst kumulēt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komercdarbības atbalsta piešķiršanas dienu ir uzskatāma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un sadarbības partneris (ja attiecināms)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(turpmāk – Komisijas regula Nr. 651/2014), 2. panta 18. punktu. Grūtībās nonākuša komersanta pazīmes projekta iesniedzējam un tā saistīto personu grupai (ja attiecināms) tiek vērtētas individuāli. Saistīto personu grupa tiek noteikta saskaņā ar Komisijas regulas Nr. 651/2014 I pielikuma 3. panta 3.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un sadarbības partneris (ja attiecināms) projekta iesniegumam pievieno apliecinājumu, ka attiecībā uz to nepastāv Maksātnespējas likumā noteiktie ierobežojumi tiesiskās aizsardzības procesa lietas ierosināšanai un pasludināšanai un ka projekta iesniedzējam nav ierosināta maksātnespējas procesa lieta.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Prasības projekta iesniedzējiem un sadarbības partneriem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un pasākuma ietvaros iesaistās veselības aprūpes rīcībpolitikas mērķa "primārās veselības aprūpes stiprināšana" izmēģinājumprojektos,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Stradiņa universitāte, kas nodrošina telpas valsts apmaksāto primārās un sekundārās veselības aprūpes pakalpojumu sniegšanai un veic metodiskās vadības institūcijas funkcijas ģimenes medicīnas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ar ierobežotu atbildību "Cēsu klīnika", kas sniedz valsts apmaksātos primārās un sekundārās veselības aprūpes pakalpojumus, nodrošina telpas valsts apmaksāto primārās un sekundārās veselības aprūpes pakalpojumu sniegšanai un nodrošina kopprakses modeļa īstenošanu un pilnveidošanu.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slēdzot rakstisku sadarbības līgumu, sadarbības partnera statusā var piesaistīt šādus sadarbības partnerus: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minētais finansējuma saņēmējs piesaista ārstniecības iestādes, kas nodrošina valsts apmaksātus primārās veselības aprūpes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minētais finansējuma saņēmējs var piesaistīt ārstniecības iestādes, kas nodrošina valsts apmaksātus primārās veselības aprūpes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atbilstoši normatīvajiem aktiem par kārtību, kādā Eiropas Savienības fondu vadībā iesaistītās institūcijas nodrošina šo fondu ieviešanu 2021.–2027. gada plānošanas periodā, slēdz sadarbības līgumus ar sadarbības partneriem, kontrolē to izpildi un novērš dubultā finansējuma riskus. Sadarbības līgumā iekļauj vismaz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un sadarbības partneri (ja attiecināms), iesaistoties projekta īstenošanā, nodrošina, lai funkcijas, kuras tie pilda projekta īstenošanā, tiktu nodalītas no pamatfunkciju izpildes un saimnieciskās darbības, un nodrošina atsevišķu ieņēmumu un izdevumu grāmatvedības uzskaiti, kā arī darbību un ar to īstenošanu saistīto finanšu plūsmu nodalīšanu.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partneris iesaistās projekta īstenošanā ar saviem resursiem, tai skaitā ar tā īpašumā, valdījumā, turējumā vai lietojumā esošo nekustamo īpašumu (tiesību prasībai jābūt nostiprinātai zemesgrāmatā), kā arī nodrošina pārskatu un citas informācijas iesniegšanu atbilstoši sadarbības līgumā noteiktajai kārtībai.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projekta iesniedzējs un sadarbības partneris (ja attiecināms) paraksta interešu konflikta neesības apliecinājumu, ievērojot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pantu un publiskos iepirkumus regulējošo normatīvo aktu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un pievieno to projekta iesniegumam. Veicot izmaksu un ieguvumu analīzi, projekta iesniedzējs nodrošina, ka aprēķinātā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Projektu iesniegumu vērtēšanas komisijā sadarbības iestāde iekļauj pārstāvi no Veselības ministrijas kā nozares pārstāvi, kā arī pārstāvi no Nacionālā veselības dienesta.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atbalstāmās darbības un attiecināmās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tehnoloģiju iegāde, piegāde un montāža;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30.1.</w:t>
      </w:r>
      <w:r w:rsidR="00000000" w:rsidRPr="00000000" w:rsidDel="00000000">
        <w:rPr>
          <w:rtl w:val="0"/>
        </w:rPr>
        <w:t xml:space="preserve"> apakšpunktā minētās atbalstāmās darbības ietvaros ir attiecināmas finansējuma saņēmēja projekta vadības personāla izmaksas, kas radušās uz darba līguma vai uzņēmuma līguma pamata, tai skaitā normatīvajos aktos noteiktās piemaksas un nodokļi, šādā apmērā: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apmērs nepārsniedz ES fondu daļas ierobežojumu, ko aprēķina ar minimālo izmaksu bāzi 34 422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bet neieskaitot tiešās projekta vadības personāla izmaksas un summu reizinot ar projekta ilgumu gados. Ja projekts ilgst mazāk par gadu vai nepilnus kalendāra gadus, ierobežojumu aprēķina proporcionāli projekta īstenošanas mēnešu skaitam;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personāla iesaisti projektā nodrošina saskaņā ar daļlaika attiecināmības principu (attiecināms, ja izmaksas radušās uz darba līguma pamata), attiecināma ir ne mazāka kā 30 procentu noslodze.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minētās atbalstāmās darbības ietvaros ir attiecināmas šādas ar būvniecību saistītas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vides un informācijas piekļūstamības ekspertu konsultāciju un būvniecības jomu regulējošos normatīvajos aktos noteiktās attiecīgo būvspeciālistu obligātās apdrošināšanas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izmaksas, tai skaitā demontāžas izmaksas un izmaksas, kas saistītas ar objektu nodošanu ekspluatācijā.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apakšpunktā minētās izmaksas nepārsniedz 10 procentus no projekta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30.3.</w:t>
      </w:r>
      <w:r w:rsidR="00000000" w:rsidRPr="00000000" w:rsidDel="00000000">
        <w:rPr>
          <w:rtl w:val="0"/>
        </w:rPr>
        <w:t xml:space="preserve"> apakšpunktā minētās atbalstāmās darbības ietvaros ir attiecināmas šādu ārstniecības procesam tieši nepieciešamo tehnoloģiju iegādes, piegādes un montāžas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medicīniskās tehnoloģijas, tai skaitā iebūvējamās medicīniskās tehnoloģijas;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iekārtas, ierīces, mēbeles un aprīkojums;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tehnoloģiju aprīkojums.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projekta ietvaros tiek iegādātas medicīniskās tehnoloģijas, kuru vienas vienības piegādes izmaksas pārsniedz 20 000 </w:t>
      </w:r>
      <w:r w:rsidR="00000000" w:rsidRPr="00000000" w:rsidDel="00000000">
        <w:rPr>
          <w:i w:val="1"/>
          <w:rtl w:val="0"/>
        </w:rPr>
        <w:t xml:space="preserve">euro </w:t>
      </w:r>
      <w:r w:rsidR="00000000" w:rsidRPr="00000000" w:rsidDel="00000000">
        <w:rPr>
          <w:rtl w:val="0"/>
        </w:rPr>
        <w:t xml:space="preserve">(ieskaitot pievienotās vērtības nodokli), nepieciešams saņemt Veselības ministrijas izveidotās tehnoloģiju komisijas saskaņojumu.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30.4.</w:t>
      </w:r>
      <w:r w:rsidR="00000000" w:rsidRPr="00000000" w:rsidDel="00000000">
        <w:rPr>
          <w:rtl w:val="0"/>
        </w:rPr>
        <w:t xml:space="preserve"> apakšpunktā minētās atbalstāmās darbības ietvaros ir attiecināmas izmaksas par komunikācijas un vizuālās identitātes prasību izpildi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pantam un normatīvajiem aktiem par kārtību, kādā Eiropas Savienības fondu vadībā iesaistītās institūcijas nodrošina šo fondu ieviešanu 2021.–2027. gada plānošanas periodā, kā arī, lai atbilstoši nepieciešamībai nodrošinātu piekļūstamību informācijai, attiecināmas ir horizontālā principa "Vienlīdzība, iekļaušana, nediskriminācija un pamattiesību ievērošana" darbību īstenošanas izmaksas, tai skaitā indukcijas cilpu nomas, zīmju valodas tulku un vieglās valodas tulkošanas pakalpojumu izmaksas, subtitrēšanas un reāllaika transkripcijas pakalpojumu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 minēto atbalstāmo darbību īstenošanai ir attiecināmas neparedzētās izmaksas līdz diviem procentiem no projekta kopējām tiešajām attiecināmajām izmaksām, ko projekta iesniegumā plāno kā vienu izmaksu pozīciju un izmanto papildu īstenošanas izmaksu segšanai, kas neparedzamu apstākļu dēļ ir kļuvušas nepieciešamas projekta īstenošanai. Neparedzēto izdevumu izlietošanu pirms izdevumu veikšanas finansējuma saņēmējs saskaņo ar sadarbības iestādi, kā to nosaka līgums vai vienošanās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minētās izmaksas veido projekta tiešās attiecināmās personāla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izmaksas veido projekta pārējās tiešās attiecināmās izmaksas. Šīs piegāžu un pakalpojumu izmaksas ir attiecināmas, ja tās radušās, ievērojot publisko iepirkumu jomu regulējošos normatīvos aktus.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nodoklis, kas tiešā veidā saistīts ar projektu, ir uzskatāms par attiecināmām izmaksām saskaņā ar regulas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par 2021. gada 1. janvāri. Projekta iesniegumā neiekļauj un finansējumu nepiešķir darbībām, kas pabeigtas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Pasākuma īstenošanas un finansējuma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 minētais projekta iesniedzējs var iesniegt projekta iesniegumu par tādas primārās veselības aprūpes infrastruktūras attīstību, kuras mērķis ir nodrošināt valsts apmaksātos primārās veselības aprūpes pakalpojumus, un ar saimniecisku darbību nesaistītu augstākās izglītības iestādes infrastruktūras attīstību, projekta iesniegumam pievienojot dokumentāciju, kas pierāda ēkas izmantošanu valsts apmaksāto primārās veselības aprūpes pakalpojumu attīstībai un izglītības funkciju nodrošināšanai.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minētajam finansējuma saņēmējam attiecībā uz augstākās izglītības iestādes infrastruktūras attīstību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darbībai nav saimnieciska rakstura, ja pašu ieņēmumi atbalstītajā objektā ir 50 procenti vai mazāki par 50 procentiem no izglītības jomas pakalpojumu sniedzēja gada budžeta atbalstītajā objektā projekta dzīves ciklā (amortizācijas periodā);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izglītības jomas pakalpojumu sniedzēja gada budžeta, tad projekta daļai, kas attiecas uz augstākās izglītības iestādes infrastruktūras attīstību, ir saimniecisks raksturs, tomēr tā nav kvalificējama kā atbalsts komercdarbībai, ja projekta daļai nav ietekmes uz konkurenci un tirdzniecību Eiropas Savienības iekšējā tirgū, ko vērtē atbilstoši vienam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visiem izglītojamiem atbalstītajā objektā gadā 85 procenti vai vairāk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izglītojamie pasākumi atbalstītajā objektā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 neierindojas 500 pasaules labāko universitāšu sarakstā.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minētajā gadījumā finansējuma saņēmējs projekta īstenošanas laikā un projekta dzīves cikla laikā (amortizācijas periodā) izvērtē, vai projekta daļa, kas attiecas uz augstākās izglītības iestādes infrastruktūras attīstību, atbilst šo noteikumu </w:t>
      </w:r>
      <w:r w:rsidR="00000000" w:rsidRPr="00000000" w:rsidDel="00000000">
        <w:rPr>
          <w:rtl w:val="0"/>
        </w:rPr>
        <w:t xml:space="preserve">42.1.</w:t>
      </w:r>
      <w:r w:rsidR="00000000" w:rsidRPr="00000000" w:rsidDel="00000000">
        <w:rPr>
          <w:rtl w:val="0"/>
        </w:rPr>
        <w:t xml:space="preserve"> vai </w:t>
      </w:r>
      <w:r w:rsidR="00000000" w:rsidRPr="00000000" w:rsidDel="00000000">
        <w:rPr>
          <w:rtl w:val="0"/>
        </w:rPr>
        <w:t xml:space="preserve">42.2. </w:t>
      </w:r>
      <w:r w:rsidR="00000000" w:rsidRPr="00000000" w:rsidDel="00000000">
        <w:rPr>
          <w:rtl w:val="0"/>
        </w:rPr>
        <w:t xml:space="preserve">apakšpunktā minētajam nosacījumam, kā arī nodrošina minētās dokumentācijas pieejamību sadarbības iestādei ne mazāk kā līdz projekta dzīves cikla (amortizācijas perioda) beigām.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projekta īstenošanas laikā, vismaz piecus gadus pēc noslēguma maksājuma saņemšanas un projekta dzīves cikla laikā (amortizācijas periodā) tiek pārkāptas šo noteikumu </w:t>
      </w:r>
      <w:r w:rsidR="00000000" w:rsidRPr="00000000" w:rsidDel="00000000">
        <w:rPr>
          <w:rtl w:val="0"/>
        </w:rPr>
        <w:t xml:space="preserve">42.</w:t>
      </w:r>
      <w:r w:rsidR="00000000" w:rsidRPr="00000000" w:rsidDel="00000000">
        <w:rPr>
          <w:rtl w:val="0"/>
        </w:rPr>
        <w:t xml:space="preserve"> punktā minētās atbalsta piešķiršanas prasības vai ja projekta īstenošanas laikā vai amortizācijas periodā tas kļūst par tādu, kas kvalificējas kā komercdarbības atbalsts, finansējuma saņēmējam ir pienākums atmaksāt atbalsta sniedzējam projekta ietvaros saņemto nelikumīgo komercdarbības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 </w:t>
      </w:r>
      <w:r w:rsidR="00000000" w:rsidRPr="00000000" w:rsidDel="00000000">
        <w:rPr>
          <w:rtl w:val="0"/>
        </w:rPr>
        <w:t xml:space="preserve">punktā minētajā gadījumā atbalstītajā objektā ir pieļaujams sniegt papildpakalpojumus, kuriem nav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 </w:t>
      </w:r>
      <w:r w:rsidR="00000000" w:rsidRPr="00000000" w:rsidDel="00000000">
        <w:rPr>
          <w:rtl w:val="0"/>
        </w:rPr>
        <w:t xml:space="preserve">apakšpunktā minētais finansējuma saņēmējs,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minētie sadarbības partneri saskaņā ar šo noteikumu </w:t>
      </w:r>
      <w:r w:rsidR="00000000" w:rsidRPr="00000000" w:rsidDel="00000000">
        <w:rPr>
          <w:rtl w:val="0"/>
        </w:rPr>
        <w:t xml:space="preserve">13. </w:t>
      </w:r>
      <w:r w:rsidR="00000000" w:rsidRPr="00000000" w:rsidDel="00000000">
        <w:rPr>
          <w:rtl w:val="0"/>
        </w:rPr>
        <w:t xml:space="preserve">punktu infrastruktūrai, kurā sniedz primārās veselības aprūpes pakalpojumus, aprēķina izmantošanas proporciju un piemēro to projekta daļas finansējumam, kas attiecas uz vispārējas tautsaimnieciskas nozīmes pakalpojumu mērķi, nosakot publiskā un privātā finansējuma apmēru, atbilstoši šādam aprēķinam: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kopējo publisko izmaksu maksimālo apmēru nosaka, izmantojot šādu formulu:</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085975" cy="790575"/>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2085975" cy="790575"/>
                    </a:xfrm>
                    <a:prstGeom prst="rect"/>
                    <a:ln/>
                  </pic:spPr>
                </pic:pic>
              </a:graphicData>
            </a:graphic>
          </wp:inline>
        </w:drawing>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x – gadu skaits, kuriem aprēķināts projekta publisko izmaksu maksimālais apmērs;</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publ</w:t>
      </w:r>
      <w:r w:rsidR="00000000" w:rsidRPr="00000000" w:rsidDel="00000000">
        <w:rPr>
          <w:vertAlign w:val="subscript"/>
          <w:rtl w:val="0"/>
        </w:rPr>
        <w:t xml:space="preserve"> </w:t>
      </w:r>
      <w:r w:rsidR="00000000" w:rsidRPr="00000000" w:rsidDel="00000000">
        <w:rPr>
          <w:rtl w:val="0"/>
        </w:rPr>
        <w:t xml:space="preserve">– attiecīgā gada publisko izmaksu maksimālais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gada publisko izmaksu maksimālo apmēru nosaka, izmantojot šādu formulu:</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000250" cy="7239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2000250" cy="723900"/>
                    </a:xfrm>
                    <a:prstGeom prst="rect"/>
                    <a:ln/>
                  </pic:spPr>
                </pic:pic>
              </a:graphicData>
            </a:graphic>
          </wp:inline>
        </w:drawing>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y – projekta ietvaros veicamo atbalstāmo darbību skaits;</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 – attiecīgās atbalstāmās darbības kopējās izmaksas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w:t>
      </w:r>
      <w:r w:rsidR="00000000" w:rsidRPr="00000000" w:rsidDel="00000000">
        <w:rPr>
          <w:vertAlign w:val="subscript"/>
          <w:rtl w:val="0"/>
        </w:rPr>
        <w:t xml:space="preserve">v</w:t>
      </w:r>
      <w:r w:rsidR="00000000" w:rsidRPr="00000000" w:rsidDel="00000000">
        <w:rPr>
          <w:vertAlign w:val="subscript"/>
          <w:rtl w:val="0"/>
        </w:rPr>
        <w:t xml:space="preserve"> </w:t>
      </w:r>
      <w:r w:rsidR="00000000" w:rsidRPr="00000000" w:rsidDel="00000000">
        <w:rPr>
          <w:rtl w:val="0"/>
        </w:rPr>
        <w:t xml:space="preserve">– uz attiecīgo atbalstāmo darbību attiecināmās infrastruktūras izmantošanas laiks valsts apmaksāto veselības aprūpes pakalpojumu sniegšanai (stundas gadā);</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w:t>
      </w:r>
      <w:r w:rsidR="00000000" w:rsidRPr="00000000" w:rsidDel="00000000">
        <w:rPr>
          <w:vertAlign w:val="subscript"/>
          <w:rtl w:val="0"/>
        </w:rPr>
        <w:t xml:space="preserve">m</w:t>
      </w:r>
      <w:r w:rsidR="00000000" w:rsidRPr="00000000" w:rsidDel="00000000">
        <w:rPr>
          <w:rtl w:val="0"/>
        </w:rPr>
        <w:t xml:space="preserve"> – uz attiecīgo atbalstāmo darbību attiecināmās infrastruktūras izmantošanas laiks citu darbību veikšanai (stundas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attiecīgo atbalstāmo darbību attiecināmajai infrastruktūrai, kurai nav iespējams noteikt infrastruktūras izmantošanas laika sadalījumu valsts apmaksāto veselības aprūpes pakalpojumu sniegšanai un citu darbību veikšanai, laika sadalījumu nosaka atbilstoši vidējai ārstniecības iestādes infrastruktūras izmantošanas proporcijai, kas aprēķināta, infrastruktūrai, kurai ir iespējams noteikt infrastruktūras izmantošanas laika sadalījumu valsts apmaksāto veselības aprūpes pakalpojumu sniegšanai un citu darbību veikšanai, sadalot kopējo publisko izmaksu maksimālo apmēru ar šīs infrastruktūras kopējām izmaksām.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un sadarbības partneris infrastruktūras izmantošanas proporciju aprēķina, izmantojot iepriekšējā gada datus vai divu iepriekšējo gadu vidējos datus par infrastruktūras izmantošanu. Ja iepriekšējo gadu dati par infrastruktūras izmantošanu nav pieejami vai tie atšķiras no attīstāmās infrastruktūras izmantošanas prognozes, finansējuma saņēmējs izmanto plānotos infrastruktūras izmantošanas datus līdz brīdim, kad ir pieejami dati par attīstītās infrastruktūras izmantošanu.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un sadarbības partneris infrastruktūras izmantošanas proporcijas aprēķinu iesniedz sadarbības iestādei: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iesniedzot projekta iesniegumu;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iesniedzot noslēguma maksājuma pieprasījumu.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pēc līguma vai vienošanās par projekta īstenošanu noslēgšanas palielinās projekta publisko izmaksu maksimālais apmērs, kas aprēķināts saskaņā ar šo noteikumu </w:t>
      </w:r>
      <w:r w:rsidR="00000000" w:rsidRPr="00000000" w:rsidDel="00000000">
        <w:rPr>
          <w:rtl w:val="0"/>
        </w:rPr>
        <w:t xml:space="preserve">46.1.</w:t>
      </w:r>
      <w:r w:rsidR="00000000" w:rsidRPr="00000000" w:rsidDel="00000000">
        <w:rPr>
          <w:rtl w:val="0"/>
        </w:rPr>
        <w:t xml:space="preserve"> apakšpunktu, valsts atbalsta sniedzējs kopējās publiskās projekta attiecināmās izmaksas nepalielina.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un sadarbības partneris, iesniedzot noslēguma maksājuma pieprasījumu, nodrošina, ka saskaņā ar šo noteikumu </w:t>
      </w:r>
      <w:r w:rsidR="00000000" w:rsidRPr="00000000" w:rsidDel="00000000">
        <w:rPr>
          <w:rtl w:val="0"/>
        </w:rPr>
        <w:t xml:space="preserve">46.1.</w:t>
      </w:r>
      <w:r w:rsidR="00000000" w:rsidRPr="00000000" w:rsidDel="00000000">
        <w:rPr>
          <w:rtl w:val="0"/>
        </w:rPr>
        <w:t xml:space="preserve"> apakšpunktu aprēķinātais projekta kopējais publisko izmaksu maksimālais apmērs atbilst piešķirtajam kopējam publisko izmaksu maksimālajam apmēram, attiecīgi palielinot šo noteikumu </w:t>
      </w:r>
      <w:r w:rsidR="00000000" w:rsidRPr="00000000" w:rsidDel="00000000">
        <w:rPr>
          <w:rtl w:val="0"/>
        </w:rPr>
        <w:t xml:space="preserve">11</w:t>
      </w:r>
      <w:r w:rsidR="00000000" w:rsidRPr="00000000" w:rsidDel="00000000">
        <w:rPr>
          <w:rtl w:val="0"/>
        </w:rPr>
        <w:t xml:space="preserve">. punktā minēto nacionālo privāto finansējumu.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30.4.</w:t>
      </w:r>
      <w:r w:rsidR="00000000" w:rsidRPr="00000000" w:rsidDel="00000000">
        <w:rPr>
          <w:rtl w:val="0"/>
        </w:rPr>
        <w:t xml:space="preserve"> apakšpunktā minētos komunikācijas un vizuālās identitātes prasību izpildes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īstenošanu un uzkrāj datus par šādiem rādītājiem: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Eiropas Reģionālās attīstības fonda ieguldījumu rezultātā ir nodrošināta vides un informācijas pieejamība. Finansējuma saņēmējam, iesniedzot noslēguma maksājuma pieprasījumu, ir pienākums sniegt minēto informāciju par visu projekta periodu;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 Finansējuma saņēmējam, iesniedzot noslēguma maksājuma pieprasījumu, ir pienākums sniegt minēto informāciju par visu projekta periodu;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izmaksas pieaug, finansējuma saņēmējs vai sadarbības partneris (ja attiecināms) projekta sadārdzinājumu sedz no saviem līdzekļiem, kas brīvi no jebkāda komercdarbības atbalsta, vai arī nodrošina atbilstoša komercdarbības atbalsta regulējuma normu ievērošanu;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un nodrošina, ka projektā plānotie darbi netiek finansēti vai līdzfinansēti un tos nav plānots finansēt vai līdzfinansēt no citiem valsts un ārvalstu finanšu atbalsta instrumentiem;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faktiski sasniegto šo noteikumu </w:t>
      </w:r>
      <w:r w:rsidR="00000000" w:rsidRPr="00000000" w:rsidDel="00000000">
        <w:rPr>
          <w:rtl w:val="0"/>
        </w:rPr>
        <w:t xml:space="preserve">8.</w:t>
      </w:r>
      <w:r w:rsidR="00000000" w:rsidRPr="00000000" w:rsidDel="00000000">
        <w:rPr>
          <w:rtl w:val="0"/>
        </w:rPr>
        <w:t xml:space="preserve"> punktā minēto rādītāju;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iepirkumus, kuri nepieciešami atbalstāmo darbību īstenošanai, finansējuma saņēmējs vai sadarbības partneris veic atklātā, pārredzamā, nediskriminējošā un konkurenci nodrošinošā veidā, kā arī saskaņā ar normatīvajiem aktiem publisko iepirkumu jomā, ievērojot nediskriminācijas principus. Projekta ietvaros iespēju robežās ir atbalstāma vides prasību un inovatīva risinājuma integrēšana preču un pakalpojumu iepirkumos (zaļais publiskais iepirkums un inovāciju publiskais iepirkums) un sociāli atbildīgs iepirkums;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nosacījumus, kā tas pārliecinās par interešu konflikta un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projekta ietvaros tiek attīstīta infrastruktūra triju un vairāk ģimenes ārstu prakšu pakalpojumu nodrošināšanai.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sadarbības iestādei ir pieejami valsts budžeta līdzekļi, tā pēc līguma vai vienošanās par projekta īstenošanu noslēgšanas var piešķirt finansējuma saņēmējam avansu, pamatojoties uz finansējuma saņēmēja rakstisku avansa pieprasījumu un izvērtējot plānotā avansa apmēru un tā pamatojumu. Finansējuma saņēmējs avansa pieprasījumu sagatavo un sadarbības iestāde to apstiprina, ņemot vērā nosacījumu, ka plānotā avansa apmērs atbilst finansējuma saņēmēja spējai to izlietot sešu mēnešu laikā saimnieciskā gada ietvaros.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Pasākuma ietvaros projektu īsteno saskaņā ar līgumu vai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24-TA-2625</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24-TA-2625</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jp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noteikumu_projekts_24-TA-2625.docx</dc:title>
</cp:coreProperties>
</file>

<file path=docProps/custom.xml><?xml version="1.0" encoding="utf-8"?>
<Properties xmlns="http://schemas.openxmlformats.org/officeDocument/2006/custom-properties" xmlns:vt="http://schemas.openxmlformats.org/officeDocument/2006/docPropsVTypes"/>
</file>