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260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12. maijā (prot. Nr. 27 28.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1. septembra noteikumos Nr. 506 "Mēslošanas līdzekļu un substrātu identifikācijas, kvalitātes atbilstības novērtēšanas un tirdzniecības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Mēslošanas līdzekļu aprites likuma</w:t>
      </w:r>
      <w:r>
        <w:br/>
      </w:r>
      <w:r w:rsidR="00000000" w:rsidRPr="00000000" w:rsidDel="00000000">
        <w:rPr>
          <w:rStyle w:val="paragraph"/>
          <w:i w:val="1"/>
          <w:rtl w:val="0"/>
        </w:rPr>
        <w:t xml:space="preserve">4. panta pirmās daļas 1.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2015. gada 1. septembra noteikumos Nr. 506 "Mēslošanas līdzekļu un substrātu identifikācijas, kvalitātes atbilstības novērtēšanas un tirdzniecības noteikumi" (Latvijas Vēstnesis, 2015, 179. nr.; 2016, 88. nr.; 2018, 137. nr.; 2020, 21. nr.; 2022, 10. nr.; 2024, 43. nr.; 2025, 31.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Testēšanas pārskatu par mēslošanas līdzekli un substrātu izsniedz laboratorija, kas ir akreditēta nacionālajā akreditācijas institūcijā atbilstoši normatīvajiem aktiem par atbilstības novērtēšanas institūciju novērtēšanu, akreditāciju un uzraudzību vai citā Eiropas Savienības dalībvalsts vai Eiropas Ekonomikas zonas valsts akreditācijas institūcijā (turpmāk – akreditēta laboratorija), vai – par Eiropas Savienības dalībvalstī un Eiropas Ekonomikas zonas valstī ražotu mēslošanas līdzekli un substrātu – ražotājs. Testēšanas pārskatu par dzīvotspējīgiem mikroorganismiem mikrobioloģiskā preparātā un bioloģiski aktīviem savienojumiem augu augšanas veicinātājā drīkst izsniegt arī zinātniska institūcija, kas atbilstoši Zinātniskās darbības likumam ir reģistrēta Zinātnisko institūciju reģistrā, vai citas Eiropas Savienības dalībvalsts oficiāli reģistrēta zinātniskā institūcija."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Iesniegumu mēslošanas līdzekļa vai substrāta reģistrēšanai iesniedz juridiska vai fiziska persona, kas ražo, iepako vai ieved mēslošanas līdzekli un substrātu (turpmāk –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Atļauts brīvi ievest mēslošanas līdzekli vai substrātu, ko reģistrējis ražotājs. Nav jāreģistrē mēslošanas līdzeklis vai substrāts, ko Latvijā ražo pēc galalietotāja individuāla pasūtījuma un kas netiek piedāvāts tirdzniecībā vai tiek izmantots par ražošanas izejvielu."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"15.2. ražotājs vai ievedējs – šo noteikumu 9. punktam atbilstošu testēšanas pārskatu, kas ir derīgs 12 mēnešus no parauga iesniegšanas dienas akreditētā laboratorijā vai zinātniskajā institūcijā. Ja ir vairāki testēšanas pārskati, ņem vērā jaunāko pārskatu;".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15.3.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15.4.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15.5.</w:t>
      </w:r>
      <w:r w:rsidR="00000000" w:rsidRPr="00000000" w:rsidDel="00000000">
        <w:rPr>
          <w:vertAlign w:val="superscript"/>
          <w:rtl w:val="0"/>
        </w:rPr>
        <w:t xml:space="preserve">1</w:t>
      </w:r>
      <w:r w:rsidR="00000000" w:rsidRPr="00000000" w:rsidDel="00000000">
        <w:rPr>
          <w:rtl w:val="0"/>
        </w:rPr>
        <w:t xml:space="preserve">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 15.7.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15.8.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 15.9.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15.10.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15.11.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Lai pieņemtu lēmumu par mēslošanas līdzekļa vai substrāta reģistrāciju, dienests var pieaicināt atbilstošas kvalifikācijas ekspertus, kā arī, norādot pamatojumu, pieprasīt personai papildinformāciju, tostarp drošības datu lapu, ja tāda paredzēta Eiropas Parlamenta un Padomes 2006. gada 18. decembra Regulā (EK) Nr. 1907/2006, kas attiecas uz ķimikāliju reģistrēšanu, vērtēšanu, licencēšanu un ierobežošanu (REACH), un ar kuru izveido Eiropas Ķimikāliju aģentūru, groza Direktīvu 1999/45/EK un atceļ Padomes Regulu (EEK) Nr. 793/93 un Komisijas Regulu (EK) Nr. 1488/94, kā arī Padomes Direktīvu 76/769/EEK un Komisijas Direktīvu 91/155/EEK, Direktīvu 93/67/EEK, Direktīvu 93/105/EK un Direktīvu 2000/21/EK."</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tas atbilst šo noteikumu 2. punktā minētajām prasībām, ja tas ir dzīvnieku izcelsmes organiskais mēslošanas līdzeklis vai substrāts, un šo noteikumu 1. un 3. pielikumā minētajām kvalitātes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 21.4.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21.5.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Dienests 15 darbdienu laikā pēc tam, kad iestājušies apstākļi, kas var būt par pamatu reģistrācijas anulēšanai, anulē mēslošanas līdzekļa vai substrāta reģistrāciju un reģistrācijas apliecību, ja persona, reģistrējot mēslošanas līdzekli vai substrātu, ir sniegusi nepatiesu informāciju vai ja iestājas Mēslošanas līdzekļu aprites likuma 11. panta pirmajā daļā minētie apstākļi."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Dienests piecu darbdienu laikā pēc mēslošanas līdzekļa un substrāta reģistrācijas: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 ievieto savā tīmekļvietnē informāciju par reģistrēto mēslošanas līdzekli vai substrātu – nosaukumu (tirdzniecības nosaukumu), pamatsastāvu (neattiecas uz mikrobioloģisko preparātu un substrātu), izejvielas (tikai par substrātu), tās personas nosaukumu vai vārdu un uzvārdu, kura reģistrē konkrēto mēslošanas līdzekli vai substrātu, ražotāja nosaukumu un valsti, reģistrācijas apliecības numuru un mēslošanas līdzekļa vai substrāta aprites posmu;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iekļauj mēslošanas līdzekli vai substrātu šo noteikumu 39.</w:t>
      </w:r>
      <w:r w:rsidR="00000000" w:rsidRPr="00000000" w:rsidDel="00000000">
        <w:rPr>
          <w:vertAlign w:val="superscript"/>
          <w:rtl w:val="0"/>
        </w:rPr>
        <w:t xml:space="preserve">1</w:t>
      </w:r>
      <w:r w:rsidR="00000000" w:rsidRPr="00000000" w:rsidDel="00000000">
        <w:rPr>
          <w:rtl w:val="0"/>
        </w:rPr>
        <w:t xml:space="preserve">2. apakšpunktā minētajā sarakstā, ja ir ievērotas šo noteikumu prasības par norādes "Bioloģiskā lauksaimniecība" vai norādes "Atļauts lietot bioloģiskajā lauksaimniecībā" lietošanu."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Lai Latvijā tirgotu paziņotu mēslošanas līdzekli vai substrātu, ievedējs vai ražotājs ne vēlāk kā 15 darbdienas pirms mēslošanas līdzekļa un substrāta pirmreizējas izvietošanas Latvijas tirgū iesniedz dienestā: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34.1. iesniegumu (11.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 attiecīgās valsts kompetentās iestādes vai ražotāja apliecinājumu par konkrēta mēslošanas līdzekļa vai substrāta likumīgu tirdzniecību Eiropas Savienības dalībvalstī, Eiropas Ekonomikas zonas dalībvalstī vai Turcijā;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34.3. etiķetes, marķējuma vai pavaddokumenta tekstu latviešu valodā, kas atbilst tekstam tās valsts valodā, kura atzinusi mēslošanas līdzekli un substrātu. Ja iesniegumu iesniedz papīra formā, etiķetes vai marķējuma teksts iesniedzams arī elektroniskā formā;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34.4. informāciju par organiskā mēslošanas līdzekļa un substrāta izejvielām;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34.5. informāciju par organisko mēslošanas līdzekli un substrātu, ja tā sastāvā ir dzīvnieku izcelsmes blakusprodukti, norādot piešķirto reģistrācijas vai atzīšanas oficiālo numuru, kā arī kompetentās institūcijas tīmekļvietni, kurā ir informācija par to, ka organiskā mēslošanas līdzekļa un substrāta ražotājs ir atzīts vai reģistrēts atbilstoši regulas Nr. 1069/2009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Dienests 15 darbdienu laikā pēc šo noteikumu 34.1. apakšpunktā minētā iesnieguma saņemšanas informāciju par paziņoto mēslošanas līdzekli un substrātu iekļauj paziņoto mēslošanas līdzekļu un substrātu sarakstā. Dienests savā tīmekļvietnē norāda atzītā mēslošanas līdzekļa vai substrāta grupu (ja tā norādīta dalībvalsts apliecinājumā) un tirdzniecības nosaukumu, ražotāju, iesniedzēju, dalībvalsti, kas to atzinusi, un attiecīgās dalībvalsts kompetentās iestādes vai ražotāja apliecinājuma datumu un numuru (ja tāds ir), kā arī apliecinājuma derīguma termiņu (ja tāds ir norādīts) un atzīšanas datumu Latvijā. Ja dienestā nav iesniegti visi šo noteikumu 34. punktā minētie dokumenti, dienests pieņem lēmumu par atteikumu iekļaut informāciju par paziņoto mēslošanas līdzekli un substrātu paziņoto mēslošanas līdzekļu un substrātu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36.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Grozījumus paziņoto mēslošanas līdzekļu un substrātu sarakstā dienests izdara 10 darbdienu laikā, pamatojoties uz ražotāja vai ievedēja iesniegumu un tam pievienotajiem dokumentiem."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39.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Dienests: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 izvērtē mēslošanas līdzekļa vai substrāta atbilstību regulas 2021/1165 II pielikumā noteiktajām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 uztur sarakstu, kurā iekļauti mēslošanas līdzekļi un substrāti ar norādēm "Atļauts lietot bioloģiskajā lauksaimniecībā", kas izvērtēti saskaņā ar šajā nodaļā minētajām prasībām, vai norādēm "Bioloģiskā lauksaimniecība", kuriem izsniegts sertifikāts saskaņā ar normatīvajiem aktiem par bioloģiskās lauksaimniecības uzraudzības un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39.</w:t>
      </w:r>
      <w:r w:rsidR="00000000" w:rsidRPr="00000000" w:rsidDel="00000000">
        <w:rPr>
          <w:vertAlign w:val="superscript"/>
          <w:rtl w:val="0"/>
        </w:rPr>
        <w:t xml:space="preserve">2</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2. Eiropas Savienības dalībvalsts atzinumu par ievestā mēslošanas līdzekļa vai substrāta atbilstību regulas 2021/1165 II pielikumā noteiktajām prasībām vai atzinumu par paziņotā mēslošanas līdzekļa vai substrāta atbilstību, kuru izsniegusi tās valsts bioloģiskās lauksaimniecības kompetentā iestāde, kontroles institūcija vai organizācija, kas to ir atzinusi, vai informāciju par sastāvdaļām, ja nepieciešams, norādot to izcelsmi un iegūšanas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 39.</w:t>
      </w:r>
      <w:r w:rsidR="00000000" w:rsidRPr="00000000" w:rsidDel="00000000">
        <w:rPr>
          <w:vertAlign w:val="superscript"/>
          <w:rtl w:val="0"/>
        </w:rPr>
        <w:t xml:space="preserve">2</w:t>
      </w:r>
      <w:r w:rsidR="00000000" w:rsidRPr="00000000" w:rsidDel="00000000">
        <w:rPr>
          <w:rtl w:val="0"/>
        </w:rPr>
        <w:t xml:space="preserve">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39.</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Dienests 15 darbdienu laikā pēc iesnieguma saņemšanas: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1. pieņem lēmumu par mēslošanas līdzekļa vai substrāta atbilstību regulas 2021/1165 II pielikumā noteiktajām prasībām,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1.1. tas atbilst šajos noteikumos, normatīvajos aktos par bioloģiskās lauksaimniecības uzraudzības un kontroles kārtību un regulā 2021/1165 minētajām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1.2. saskaņā ar dienesta maksas pakalpojumu cenrādi ir segti izdevumi par mēslošanas līdzekļa vai substrāta novērtējuma sagatavošanu;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1.3. mēslošanas līdzeklis vai substrāts minētā lēmuma pieņemšanas brīdī ir iekļauts reģistrā, par to ir izsniegta atļauja, tas ir pieteikts ES mēslošanas līdzekļa ar CE zīmi uzskaitei vai iekļauts paziņoto mēslošanas līdzekļu un substrātu sarakstā;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2. iekļauj mēslošanas līdzekli vai substrātu šo noteikumu 39.</w:t>
      </w:r>
      <w:r w:rsidR="00000000" w:rsidRPr="00000000" w:rsidDel="00000000">
        <w:rPr>
          <w:vertAlign w:val="superscript"/>
          <w:rtl w:val="0"/>
        </w:rPr>
        <w:t xml:space="preserve">1</w:t>
      </w:r>
      <w:r w:rsidR="00000000" w:rsidRPr="00000000" w:rsidDel="00000000">
        <w:rPr>
          <w:rtl w:val="0"/>
        </w:rPr>
        <w:t xml:space="preserve">2. apakšpunktā minētajā sarakstā, ja pieņemts šo noteikumu 39.</w:t>
      </w:r>
      <w:r w:rsidR="00000000" w:rsidRPr="00000000" w:rsidDel="00000000">
        <w:rPr>
          <w:vertAlign w:val="superscript"/>
          <w:rtl w:val="0"/>
        </w:rPr>
        <w:t xml:space="preserve">5</w:t>
      </w:r>
      <w:r w:rsidR="00000000" w:rsidRPr="00000000" w:rsidDel="00000000">
        <w:rPr>
          <w:rtl w:val="0"/>
        </w:rPr>
        <w:t xml:space="preserve">1. apakšpunktā minētais lēmums."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39.</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6</w:t>
      </w:r>
      <w:r w:rsidR="00000000" w:rsidRPr="00000000" w:rsidDel="00000000">
        <w:rPr>
          <w:rtl w:val="0"/>
        </w:rPr>
        <w:t xml:space="preserve"> Mēslošanas līdzekli un substrātu šo noteikumu 39.</w:t>
      </w:r>
      <w:r w:rsidR="00000000" w:rsidRPr="00000000" w:rsidDel="00000000">
        <w:rPr>
          <w:vertAlign w:val="superscript"/>
          <w:rtl w:val="0"/>
        </w:rPr>
        <w:t xml:space="preserve">1</w:t>
      </w:r>
      <w:r w:rsidR="00000000" w:rsidRPr="00000000" w:rsidDel="00000000">
        <w:rPr>
          <w:rtl w:val="0"/>
        </w:rPr>
        <w:t xml:space="preserve">2. apakšpunktā minētajā sarakstā iekļauj uz šo noteikumu 39.</w:t>
      </w:r>
      <w:r w:rsidR="00000000" w:rsidRPr="00000000" w:rsidDel="00000000">
        <w:rPr>
          <w:vertAlign w:val="superscript"/>
          <w:rtl w:val="0"/>
        </w:rPr>
        <w:t xml:space="preserve">2</w:t>
      </w:r>
      <w:r w:rsidR="00000000" w:rsidRPr="00000000" w:rsidDel="00000000">
        <w:rPr>
          <w:rtl w:val="0"/>
        </w:rPr>
        <w:t xml:space="preserve">2. apakšpunktā minētajā atzinumā norādīto termiņu vai, ja šo noteikumu 39.</w:t>
      </w:r>
      <w:r w:rsidR="00000000" w:rsidRPr="00000000" w:rsidDel="00000000">
        <w:rPr>
          <w:vertAlign w:val="superscript"/>
          <w:rtl w:val="0"/>
        </w:rPr>
        <w:t xml:space="preserve">2</w:t>
      </w:r>
      <w:r w:rsidR="00000000" w:rsidRPr="00000000" w:rsidDel="00000000">
        <w:rPr>
          <w:rtl w:val="0"/>
        </w:rPr>
        <w:t xml:space="preserve">2. apakšpunktā minētais atzinums nav iesniegts vai tajā nav norādīts termiņš, uz pieciem gadiem no lēmuma pieņemšanas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Ja mēslošanas līdzekļa vai substrāta kvalitāte neatbilst šo noteikumu prasībām, dienests: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44.1. izvērtē nepieciešamību izdarīt grozījumus reģistrā, pēc vajadzības pieaicinot personu vai atbilstošas kvalifikācijas ekspertus, vai pieņem lēmumu anulēt mēslošanas līdzekļa vai substrāta reģistrāciju un tā reģistrācijas apliecību, ja tas attiecas uz reģistrētu mēslošanas līdzekli vai substrātu. Dienests anulē mēslošanas līdzekļa vai substrāta reģistrāciju 15 darbdienu laikā pēc tam, kad iestājušies apstākļi, kas var būt par pamatu reģistrācijas anulēšanai;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44.2. sazinās ar attiecīgās dalībvalsts kompetento iestādi, lai iegūtu informāciju par konkrētās valsts normatīvajos aktos noteiktajām mēslošanas līdzekļu un substrātu kvalitātes prasībām, ja tas attiecas uz paziņotu mēslošanas līdzekli vai substrātu. Ja mēslošanas līdzekļa vai substrāta kvalitāte neatbilst attiecīgās dalībvalsts normatīvajos aktos noteiktajām prasībām, dienests pēc dalībvalsts kompetentās institūcijas rakstveida apliecinājuma saņemšanas svītro mēslošanas līdzekli vai substrātu no paziņoto mēslošanas līdzekļu un substrātu saraksta un, konstatējot mēslošanas līdzekļa vai substrāta bīstamību videi, cilvēku vai dzīvnieku veselībai, rīkojas Mēslošanas līdzekļu aprites likuma 9. panta otrās daļas 3. punktā noteiktajā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44.3. no personas, kas nepiekrīt dienesta lēmumam, pieņem pieprasījumu dienestam testēt otru konkrētā mēslošanas līdzekļa vai substrāta kontroles paraugu. Dienests 10 darbdienu laikā nosūta akreditētajai laboratorijai vai atbilstošajai zinātniskajai institūcijai otru konkrētā mēslošanas līdzekļa vai substrāta kontroles paraugu. Otrajā kontroles paraugā testē tikai tos mēslošanas līdzekļa vai substrāta kvalitātes rādītājus, kuros konstatēta neatbilstība. Ja arī otrais testētais kontroles paraugs liecina par mēslošanas līdzekļa vai substrāta kvalitātes neatbilstību šo noteikumu prasībām, dienests rīkojas saskaņā ar šo noteikumu 44.1. un 44.2.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Ja saskaņā ar testēšanas pārskatu mēslošanas līdzekļa vai substrāta kvalitāte neatbilst šo noteikumu prasībām, kontroles parauga vai paraugu testēšanas izdevumus sedz persona, kas ražo, ieved pārdošanai, iepako vai tirgo konkrēto mēslošanas līdzekli vai substrātu."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Ja kontroles institūcija informē dienestu par to, ka mēslošanas līdzeklis vai substrāts neatbilst bioloģiskās lauksaimniecības prasībām, vai dienests konstatē, ka mēslošanas līdzeklis vai substrāts neatbilst bioloģiskās lauksaimniecības prasībām, dienests pieņem vienu no šādiem lēmumiem: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 par mēslošanas līdzekļa vai substrāta tirdzniecības apturēšanu līdz nepilnību novēršanai;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 par mēslošanas līdzekļa vai substrāta svītrošanu no šo noteikumu 39.</w:t>
      </w:r>
      <w:r w:rsidR="00000000" w:rsidRPr="00000000" w:rsidDel="00000000">
        <w:rPr>
          <w:vertAlign w:val="superscript"/>
          <w:rtl w:val="0"/>
        </w:rPr>
        <w:t xml:space="preserve">1</w:t>
      </w:r>
      <w:r w:rsidR="00000000" w:rsidRPr="00000000" w:rsidDel="00000000">
        <w:rPr>
          <w:rtl w:val="0"/>
        </w:rPr>
        <w:t xml:space="preserve">2. apakšpunktā minētā saraksta."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Mikrobioloģiskais preparāts apritē drīkst atrasties tikai ražotāja iepakojumā."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 67.4.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 67.5.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 71.4.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 75.5.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 84.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Papildināt ar 95.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 Personas, kas reģistrējušas kaļķošanas materiālus, kuru neitralizācijas spēja ir noteikta dabīgi sausā kaļķošanas materiāla paraugā, līdz 2027. gada 1. jūlijam nosaka to neitralizācijas spēju dabīgi mitrā kaļķošanas materiāla paraugā saskaņā ar šo noteikumu 1. pielikuma F sadaļā norādītajām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 6.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11.</w:t>
      </w:r>
      <w:r w:rsidR="00000000" w:rsidRPr="00000000" w:rsidDel="00000000">
        <w:rPr>
          <w:vertAlign w:val="superscript"/>
          <w:rtl w:val="0"/>
        </w:rPr>
        <w:t xml:space="preserve">1</w:t>
      </w:r>
      <w:r w:rsidR="00000000" w:rsidRPr="00000000" w:rsidDel="00000000">
        <w:rPr>
          <w:rtl w:val="0"/>
        </w:rPr>
        <w:t xml:space="preserve">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13.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14.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 aizsardzības ministra pienākumu izpildītāja</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 zemkopības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26-TA-671</w:t>
    </w:r>
    <w:r>
      <w:br/>
    </w:r>
    <w:r w:rsidR="00000000" w:rsidRPr="00000000" w:rsidDel="00000000">
      <w:rPr>
        <w:rtl w:val="0"/>
      </w:rPr>
      <w:t xml:space="preserve">Izdrukāts 29.07.2026. 23.37 - 1.0.VK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26-TA-671</w:t>
    </w:r>
    <w:r>
      <w:br/>
    </w:r>
    <w:r w:rsidR="00000000" w:rsidRPr="00000000" w:rsidDel="00000000">
      <w:rPr>
        <w:rtl w:val="0"/>
      </w:rPr>
      <w:t xml:space="preserve">Izdrukāts 29.07.2026. 23.37 - 1.0.VK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noteikumu_(grozījumu)_projekts_26-TA-671.docx</dc:title>
</cp:coreProperties>
</file>

<file path=docProps/custom.xml><?xml version="1.0" encoding="utf-8"?>
<Properties xmlns="http://schemas.openxmlformats.org/officeDocument/2006/custom-properties" xmlns:vt="http://schemas.openxmlformats.org/officeDocument/2006/docPropsVTypes"/>
</file>