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Teritorijas attīstības plānošanas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Teritorijas attīstības plānošanas likumā (Latvijas Vēstnesis, 2011, 173., 202. nr.; 2012, 88. nr.; 2014, 41. nr.; 2021, 42. nr.; 2023, 93.A nr.; 2024, 230.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7. panta pirmo daļu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nosaka sabiedrības iesaistes kārtību pirms lokālplānojuma izstrādes uzsākšanas;".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29.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 pants. Detālplānojuma apstiprināšana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Pašvaldība detālplānojumu apstiprina kā vispārīgo administratīvo aktu, attiecinot to uz zemes vienību, un tas stājas spēkā pēc paziņošanas. Detālplānojums ir spēkā, līdz to atceļ vai atzīst par spēku zaudējušu. Vispārīgo administratīvo aktu vietējā pašvaldība nosūta publicēšanai oficiālajā izdevumā "Latvijas Vēstnesis", izmantojot teritorijas attīstības plānošanas informācijas sistēmu un ietverot šajā administratīvajā aktā hipersaiti ar unikālo identifikatoru uz valsts vienotajā ģeotelpiskās informācijas portālā pieejamo apstiprināto detālplānojumu."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30. panta pirmo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Detālplānojumu var Administratīvā procesa likumā noteiktajā kārtībā pārsūdzēt administratīvajā tiesā mēneša laikā pēc detālplānojuma paziņošanas neatkarīgi no tā, vai detālplānojumā norādīta tā pārsūdzēšanas kārtība un termiņš."</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Vispārīgajā administratīvajā aktā iekļauj detālplānojuma īstenošanas kārtību, paredzot dažādus nosacījumus, termiņus un atcelšanas atrunas, kā arī prasības attiecībā uz objektu būvdarbu uzsākšanas termiņu, detālplānojuma teritorijas un publiskās infrastruktūras apsaimniekošanu, izbūves kārtām un to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19.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 Šā likuma grozījumi par 29. panta izteikšanu jaunā redakcijā, 30. panta pirmās daļas izteikšanu jaunā redakcijā un 31. panta pirmās daļas izslēgšanu, otrās daļas izteikšanu jaunā redakcijā, trešās daļas pirmā teikuma un ceturtās daļas izlēgšanu stājas spēkā 2026. gada 31. martā."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25-TA-1667</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25-TA-1667</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likumprojekts_(grozījumi)_25-TA-1667.docx</dc:title>
</cp:coreProperties>
</file>

<file path=docProps/custom.xml><?xml version="1.0" encoding="utf-8"?>
<Properties xmlns="http://schemas.openxmlformats.org/officeDocument/2006/custom-properties" xmlns:vt="http://schemas.openxmlformats.org/officeDocument/2006/docPropsVTypes"/>
</file>