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novembrī (prot. Nr. 46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Slokas ielā 144, Rīgā,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ceturtās daļas 9. punktu un 5. panta pirmo un otro daļu atļaut valsts akciju sabiedrībai "Valsts nekustamie īpašumi" pārdot par brīvu cenu nekustamo īpašumu (nekustamā īpašuma kadastra Nr. 0100 080 2141) – zemes vienību (zemes vienības kadastra apzīmējums 0100 080 2141) 1272 m</w:t>
      </w:r>
      <w:r w:rsidR="00000000" w:rsidRPr="00000000" w:rsidDel="00000000">
        <w:rPr>
          <w:vertAlign w:val="superscript"/>
          <w:rtl w:val="0"/>
        </w:rPr>
        <w:t xml:space="preserve">2</w:t>
      </w:r>
      <w:r w:rsidR="00000000" w:rsidRPr="00000000" w:rsidDel="00000000">
        <w:rPr>
          <w:rtl w:val="0"/>
        </w:rPr>
        <w:t xml:space="preserve"> platībā un divas būves (būvju kadastra apzīmējumi 0100 080 2141 005 un 0100 080 2141 007) – Slokas ielā 144, Rīgā, kas ierakstīts zemesgrāmatā uz valsts vārda Finanšu ministrijas personā, ievērojot Publiskas personas mantas atsavināšanas likuma 37. pantu un 44.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24-TA-2251</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24-TA-2251</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rīkojuma_projekts_24-TA-2251.docx</dc:title>
</cp:coreProperties>
</file>

<file path=docProps/custom.xml><?xml version="1.0" encoding="utf-8"?>
<Properties xmlns="http://schemas.openxmlformats.org/officeDocument/2006/custom-properties" xmlns:vt="http://schemas.openxmlformats.org/officeDocument/2006/docPropsVTypes"/>
</file>