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Primāti, kas nav cilvēkveidīgie primāti, ko atļauts izmantot procedūrās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5113"/>
        <w:tblGridChange w:id="0">
          <w:tblGrid>
            <w:gridCol w:w="514"/>
            <w:gridCol w:w="3772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kalitrikss </w:t>
            </w:r>
            <w:r w:rsidR="00000000" w:rsidRPr="00000000" w:rsidDel="00000000">
              <w:rPr>
                <w:i w:val="1"/>
                <w:rtl w:val="0"/>
              </w:rPr>
              <w:t xml:space="preserve"> (Callithrix jacchus)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2013. gada 1.janvāris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Garastes makaks </w:t>
            </w:r>
            <w:r w:rsidR="00000000" w:rsidRPr="00000000" w:rsidDel="00000000">
              <w:rPr>
                <w:i w:val="1"/>
                <w:rtl w:val="0"/>
              </w:rPr>
              <w:t xml:space="preserve">(Macaca fascicularis)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Rēzus pērtiķis </w:t>
            </w:r>
            <w:r w:rsidR="00000000" w:rsidRPr="00000000" w:rsidDel="00000000">
              <w:rPr>
                <w:i w:val="1"/>
                <w:rtl w:val="0"/>
              </w:rPr>
              <w:t xml:space="preserve">(Macaca mulata)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primāti, izņemot cilvēku ģints primātus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