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4. aprīļa noteikumos Nr. 166 "Valsts atbalsta piešķiršanas kārtība vaislas lauksaimniecības dzīvnieku ierakstīšanai ciltsgrāmatā un ciltsreģistrā un vietējo apdraudēto šķirņu saglabāšanai"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4. aprīļa noteikumos Nr. 166 "Valsts atbalsta piešķiršanas kārtība vaislas lauksaimniecības dzīvnieku ierakstīšanai ciltsgrāmatā un ciltsreģistrā un vietējo apdraudēto šķirņu saglabāšanai" (Latvijas Vēstnesis, 2023, 69. nr.; 2024, 27., 64. nr.; 2025, 40. nr.; 2026, 45.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Pretendents saņem vienreizēju maksājumu 141,66 </w:t>
      </w:r>
      <w:r w:rsidR="00000000" w:rsidRPr="00000000" w:rsidDel="00000000">
        <w:rPr>
          <w:i w:val="1"/>
          <w:rtl w:val="0"/>
        </w:rPr>
        <w:t xml:space="preserve">euro</w:t>
      </w:r>
      <w:r w:rsidR="00000000" w:rsidRPr="00000000" w:rsidDel="00000000">
        <w:rPr>
          <w:rtl w:val="0"/>
        </w:rPr>
        <w:t xml:space="preserve"> apmērā, tai skaitā administratīvās izmaksas 2,50 </w:t>
      </w:r>
      <w:r w:rsidR="00000000" w:rsidRPr="00000000" w:rsidDel="00000000">
        <w:rPr>
          <w:i w:val="1"/>
          <w:rtl w:val="0"/>
        </w:rPr>
        <w:t xml:space="preserve">euro</w:t>
      </w:r>
      <w:r w:rsidR="00000000" w:rsidRPr="00000000" w:rsidDel="00000000">
        <w:rPr>
          <w:rtl w:val="0"/>
        </w:rPr>
        <w:t xml:space="preserve"> apmērā, par tādas sivēnmātes ģenētiskās kvalitātes noteikšanu un produktivitātes novērtēšanu, kura atražo vaislas jauncūkas (dzīvnieks novērtēts pēc pienības, eksterjera, auglības un selekcionējamo pazīmju ģenētiskās vērtības), taču ne vairāk kā par 2000 vaislas sivēnmātēm,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pārraudzības ganāmpulkā pēc stāvokļa kārtējā gada 1. jūlijā ir vairāk nekā deviņas vaislas sivēnmātes;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iepriekšējā pārraudzības un snieguma pārbaudes gadā pārraudzības ganāmpulkā no vaislas sivēnmātes atšķirto sivēnu skaits metienā vidēji ir 8,5;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Lauku atbalsta dienestā reizi mēnesī ir iesniegts cūku kustības kopsavilkums atbilstoši normatīvajiem aktiem par lauksaimniecības un akvakultūras dzīvnieku, to ganāmpulku un novietņu reģistrēšanu, kā arī lauksaimniecības dzīvnieku apzīmēšanu un iepriekšējā gada pārraudzības rezultāti par ganāmpulku atbilstoši normatīvajiem aktiem par cūku pārraudzību un snieguma pārbaudi;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pārraudzības ganāmpulkā ir sagatavots un trešajā ceturksnī tiek īstenots vaislas sivēnmāšu mākslīgās apsēklošanas vai dabīgās lecināšanas plāns."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26-TA-1820</w:t>
    </w:r>
    <w:r>
      <w:br/>
    </w:r>
    <w:r w:rsidR="00000000" w:rsidRPr="00000000" w:rsidDel="00000000">
      <w:rPr>
        <w:rtl w:val="0"/>
      </w:rPr>
      <w:t xml:space="preserve">Izdrukāts 01.09.2026. 13.42 - 1.0.VK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26-TA-1820</w:t>
    </w:r>
    <w:r>
      <w:br/>
    </w:r>
    <w:r w:rsidR="00000000" w:rsidRPr="00000000" w:rsidDel="00000000">
      <w:rPr>
        <w:rtl w:val="0"/>
      </w:rPr>
      <w:t xml:space="preserve">Izdrukāts 01.09.2026. 13.42 - 1.0.VK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noteikumu_(grozījumu)_projekts_26-TA-1820.docx</dc:title>
</cp:coreProperties>
</file>

<file path=docProps/custom.xml><?xml version="1.0" encoding="utf-8"?>
<Properties xmlns="http://schemas.openxmlformats.org/officeDocument/2006/custom-properties" xmlns:vt="http://schemas.openxmlformats.org/officeDocument/2006/docPropsVTypes"/>
</file>