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15.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16.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480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Izlietotā iepakojuma un vienreiz lietojamo galda trauku un piederumu materiāla veidu pārstrādes un reģenerācijas apjomi (īpatsvars, %) un termiņi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Izlietotā iepakojuma un vienreiz lietojamo galda trauku un piederumu (turpmāk – izlietotais iepakojums) materiāla veidu pārstrādes un reģenerācijas apjomi (īpatsvars, %) līdz 2022.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485"/>
        <w:gridCol w:w="3485"/>
        <w:gridCol w:w="3485"/>
        <w:tblGridChange w:id="0">
          <w:tblGrid>
            <w:gridCol w:w="514"/>
            <w:gridCol w:w="1952"/>
            <w:gridCol w:w="3485"/>
            <w:gridCol w:w="3485"/>
            <w:gridCol w:w="3485"/>
            <w:gridCol w:w="34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r w:rsidR="00000000" w:rsidRPr="00000000" w:rsidDel="00000000">
              <w:rPr>
                <w:vertAlign w:val="superscript"/>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2020. gada 1. janvāra līdz 2021. gada 31. decembrim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2022. gada 1. janvāra līdz 2022. gada 31. decembrim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reģenerēts (tai skaitā pārstrādāts)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reģenerēts (tai skaitā pārstrādāts)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visiem materiāliem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tab/>
      </w:r>
      <w:r>
        <w:br/>
      </w:r>
      <w:r w:rsidR="00000000" w:rsidRPr="00000000" w:rsidDel="00000000">
        <w:rPr>
          <w:vertAlign w:val="superscript"/>
          <w:rtl w:val="0"/>
        </w:rPr>
        <w:t xml:space="preserve">1</w:t>
      </w:r>
      <w:r w:rsidR="00000000" w:rsidRPr="00000000" w:rsidDel="00000000">
        <w:rPr>
          <w:rtl w:val="0"/>
        </w:rPr>
        <w:t xml:space="preserve"> Ja izlietotais iepakojums sastāv no kompozītmateriāliem (laminātiem), reģenerācijas vai pārstrādes procentuālo apjomu (īpatsvaru) nosaka pēc tā materiāla, kas svara ziņā ir pārākumā.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Izlietotā iepakojuma materiāla veidu pārstrādes apjomi (īpatsvars, %) no 2023.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1089"/>
        <w:gridCol w:w="993"/>
        <w:gridCol w:w="993"/>
        <w:gridCol w:w="993"/>
        <w:gridCol w:w="993"/>
        <w:gridCol w:w="993"/>
        <w:gridCol w:w="993"/>
        <w:gridCol w:w="993"/>
        <w:gridCol w:w="993"/>
        <w:tblGridChange w:id="0">
          <w:tblGrid>
            <w:gridCol w:w="323"/>
            <w:gridCol w:w="1089"/>
            <w:gridCol w:w="993"/>
            <w:gridCol w:w="993"/>
            <w:gridCol w:w="993"/>
            <w:gridCol w:w="993"/>
            <w:gridCol w:w="993"/>
            <w:gridCol w:w="993"/>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2023.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2024.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2025.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2026.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2027.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2028.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2029.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2030.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un 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Melnais 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visiem materiāliem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tab/>
      </w:r>
      <w:r>
        <w:br/>
      </w:r>
      <w:r w:rsidR="00000000" w:rsidRPr="00000000" w:rsidDel="00000000">
        <w:rPr>
          <w:vertAlign w:val="superscript"/>
          <w:rtl w:val="0"/>
        </w:rPr>
        <w:t xml:space="preserve">2</w:t>
      </w:r>
      <w:r w:rsidR="00000000" w:rsidRPr="00000000" w:rsidDel="00000000">
        <w:rPr>
          <w:rtl w:val="0"/>
        </w:rPr>
        <w:t xml:space="preserve"> Ja izlietotais iepakojums sastāv no kompozītmateriāliem vai citiem vairākiem iepakojuma materiāliem, tā apjomu (īpatsvaru) aprēķina par katru iepakojumā ietverto materiālu. No minētās prasības var atkāpties, ja konkrētā materiāla apjoms iepakojuma vienībā nepārsniedz 5 % no iepakojuma vienības kopējās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Izlietotā iepakojuma materiāla veidu reģenerācijas</w:t>
      </w:r>
      <w:r w:rsidR="00000000" w:rsidRPr="00000000" w:rsidDel="00000000">
        <w:rPr>
          <w:vertAlign w:val="superscript"/>
          <w:rtl w:val="0"/>
        </w:rPr>
        <w:t xml:space="preserve">3</w:t>
      </w:r>
      <w:r w:rsidR="00000000" w:rsidRPr="00000000" w:rsidDel="00000000">
        <w:rPr>
          <w:b w:val="1"/>
          <w:rtl w:val="0"/>
        </w:rPr>
        <w:t xml:space="preserve"> apjomi (īpatsvars, %) no 2023.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1760"/>
        <w:gridCol w:w="1760"/>
        <w:gridCol w:w="1760"/>
        <w:gridCol w:w="1760"/>
        <w:tblGridChange w:id="0">
          <w:tblGrid>
            <w:gridCol w:w="514"/>
            <w:gridCol w:w="1664"/>
            <w:gridCol w:w="1760"/>
            <w:gridCol w:w="1760"/>
            <w:gridCol w:w="1760"/>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2023. gada 1. janvāra līdz 2023.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2024. gada 1. janvāra līdz 2025. gada 31. decembrim (katru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2026. gada 1. janvāra līdz 2028. gada 31. decembrim (katru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2029. gada 1. janvāra (katru gadu)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un 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visiem materiāliem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3</w:t>
      </w:r>
      <w:r w:rsidR="00000000" w:rsidRPr="00000000" w:rsidDel="00000000">
        <w:rPr>
          <w:rtl w:val="0"/>
        </w:rPr>
        <w:t xml:space="preserve"> Neietver pārstrādi un koksnes iepakojuma labošanu. Var aizstāt ar pārstrādes apjomu, ja pārstrādes apjoms ir pārsniegts (šā pielikuma 2. tabula).</w:t>
      </w:r>
      <w:r>
        <w:tab/>
      </w:r>
      <w:r>
        <w:br/>
      </w:r>
      <w:r w:rsidR="00000000" w:rsidRPr="00000000" w:rsidDel="00000000">
        <w:rPr>
          <w:vertAlign w:val="superscript"/>
          <w:rtl w:val="0"/>
        </w:rPr>
        <w:t xml:space="preserve">4</w:t>
      </w:r>
      <w:r w:rsidR="00000000" w:rsidRPr="00000000" w:rsidDel="00000000">
        <w:rPr>
          <w:rtl w:val="0"/>
        </w:rPr>
        <w:t xml:space="preserve"> Ja izlietotais iepakojums sastāv no kompozītmateriāliem vai citiem vairākiem iepakojuma materiāliem, tā apjomu (īpatsvaru) aprēķina par katru iepakojumā ietverto materiālu. No minētās prasības var atkāpties, ja konkrētā materiāla apjoms iepakojuma vienībā nepārsniedz 5 % no iepakojuma vienības kopējās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Izlietotā dzērienu iepakojuma apjomi (īpatsvars, %), kas  dalīti savākti un sagatavoti pārstrādei vai reģenerācijai,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un izlietotā dzērienu kompozīta iepakojuma pārstrādes apjomi (īpatsvars,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67"/>
        <w:gridCol w:w="5058"/>
        <w:gridCol w:w="1205"/>
        <w:gridCol w:w="1205"/>
        <w:gridCol w:w="1205"/>
        <w:gridCol w:w="1205"/>
        <w:gridCol w:w="1205"/>
        <w:gridCol w:w="1205"/>
        <w:gridCol w:w="1205"/>
        <w:gridCol w:w="1205"/>
        <w:gridCol w:w="1205"/>
        <w:gridCol w:w="1205"/>
        <w:gridCol w:w="1205"/>
        <w:gridCol w:w="1205"/>
        <w:tblGridChange w:id="0">
          <w:tblGrid>
            <w:gridCol w:w="667"/>
            <w:gridCol w:w="5058"/>
            <w:gridCol w:w="1205"/>
            <w:gridCol w:w="1205"/>
            <w:gridCol w:w="1205"/>
            <w:gridCol w:w="1205"/>
            <w:gridCol w:w="1205"/>
            <w:gridCol w:w="1205"/>
            <w:gridCol w:w="1205"/>
            <w:gridCol w:w="1205"/>
            <w:gridCol w:w="1205"/>
            <w:gridCol w:w="1205"/>
            <w:gridCol w:w="1205"/>
            <w:gridCol w:w="1205"/>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2024. gada 1. janvāra līdz 2024. gada 31. decembrim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2025. gada 1. janvāra līdz 2025. gada 31. decembrim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2026. gada 1. janvāra līdz 2026. gada 31. decembrim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2027. gada 1. janvāra līdz 2027. gada 31. decembrim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2028. gada 1. janvāra līdz 2028. gada 31. decembrim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2029. gada 1. janvāra (katru gadu)</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dalīti savākts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dalīti savākts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dalīti savākts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dalīti savākts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dalīti savākts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dalīti savākts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r w:rsidR="00000000" w:rsidRPr="00000000" w:rsidDel="00000000">
              <w:rPr>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Dzērienu vienreiz lietojams plastmasu saturošs un kompozīta iepakojums ar tilpumu līdz trim litriem (tā korķīši un vāciņi), dzērienu iepakojums kopā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Dzērienu vienreiz lietojams kompozīta iepakojums ar tilpumu līdz trim litriem (tā korķīši un vāciņi)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Apjomu nosaka, attiecīgajā kalendāra gadā izlietotā dzērienu iepakojuma apjomu, kas  dalīti savākts un sagatavots pārstrādei vai reģenerācijai, attiecinot pret realizēto vai savas saimnieciskās darbības nodrošināšanai izmantoto dzērienu iepakojuma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Apjomu nosaka, attiecīgajā kalendāra gadā pārstrādāto izlietotā dzērienu kompozīta iepakojumu attiecinot pret realizēto vai savas saimnieciskās darbības nodrošināšanai izmantoto dzērienu kompozīta iepakojuma daudzumu."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24-TA-118</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24-TA-118</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noteikumu_(grozījumu)_projekts_p1_24-TA-118.docx</dc:title>
</cp:coreProperties>
</file>

<file path=docProps/custom.xml><?xml version="1.0" encoding="utf-8"?>
<Properties xmlns="http://schemas.openxmlformats.org/officeDocument/2006/custom-properties" xmlns:vt="http://schemas.openxmlformats.org/officeDocument/2006/docPropsVTypes"/>
</file>