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2.1. prioritātes "Klimata pārmaiņu mazināšana un pielāgošanās klimata pārmaiņām" 2.1.3. specifiskā atbalsta mērķa "Veicināt pielāgošanos klimata pārmaiņām, risku novēršanu un noturību pret katastrofām" 2.1.3.3. pasākuma "Katastrofu risku mazināšanas pasākumi" (turpmāk – pasākums) ceturto projektu iesniegumu atlases kārtu (turpmāk – ceturtā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ceturtās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ceturtajai kārtai plānoto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ceturtās kārtas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 pasākuma ceturtajā kārtā.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ceturtās kārtas mērķis ir nodrošināt katastrofu pārvaldības centru projektēšanu, būvniecību un to atbilstošu aprīkošanu, lai izveidotu fizisku infrastruktūru, kas nodrošinās efektīvu un ātru reaģēšanu uz dabas un cilvēka izraisītām katastrofām, katastrofas draudiem un dažāda mēroga apdraudējumu.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ceturtās kārtas mērķa grupa ir Latvijas pašvaldības, iedzīvotāji, Iekšlietu ministrija, Nodrošinājuma valsts aģentūra un iestādes un dienesti, kas tiks izvietoti katastrofu pārvaldības centros.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Reģionālās attīstības fonda finansējumu pasākuma ceturtās kārtas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ceturto kārtu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Atbildīgās iestādes funkcijas pasākuma ceturtās kārtas ietvaros pilda Iekšlietu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ceturtās kārtas plānotais finansējums ir 102 386 573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24 669 413 </w:t>
      </w:r>
      <w:r w:rsidR="00000000" w:rsidRPr="00000000" w:rsidDel="00000000">
        <w:rPr>
          <w:i w:val="1"/>
          <w:rtl w:val="0"/>
        </w:rPr>
        <w:t xml:space="preserve">euro </w:t>
      </w:r>
      <w:r w:rsidR="00000000" w:rsidRPr="00000000" w:rsidDel="00000000">
        <w:rPr>
          <w:rtl w:val="0"/>
        </w:rPr>
        <w:t xml:space="preserve">(no tā elastības finansējums  24 669 413 </w:t>
      </w:r>
      <w:r w:rsidR="00000000" w:rsidRPr="00000000" w:rsidDel="00000000">
        <w:rPr>
          <w:i w:val="1"/>
          <w:rtl w:val="0"/>
        </w:rPr>
        <w:t xml:space="preserve">euro</w:t>
      </w:r>
      <w:r w:rsidR="00000000" w:rsidRPr="00000000" w:rsidDel="00000000">
        <w:rPr>
          <w:rtl w:val="0"/>
        </w:rPr>
        <w:t xml:space="preserve">) un valsts budžeta līdzfinansējums 77 717 160 </w:t>
      </w:r>
      <w:r w:rsidR="00000000" w:rsidRPr="00000000" w:rsidDel="00000000">
        <w:rPr>
          <w:i w:val="1"/>
          <w:rtl w:val="0"/>
        </w:rPr>
        <w:t xml:space="preserve">euro</w:t>
      </w:r>
      <w:r w:rsidR="00000000" w:rsidRPr="00000000" w:rsidDel="00000000">
        <w:rPr>
          <w:rtl w:val="0"/>
        </w:rPr>
        <w:t xml:space="preserve">, tai skaitā nacionālais līdzfinansējums 4 343 426 </w:t>
      </w:r>
      <w:r w:rsidR="00000000" w:rsidRPr="00000000" w:rsidDel="00000000">
        <w:rPr>
          <w:i w:val="1"/>
          <w:rtl w:val="0"/>
        </w:rPr>
        <w:t xml:space="preserve">euro</w:t>
      </w:r>
      <w:r w:rsidR="00000000" w:rsidRPr="00000000" w:rsidDel="00000000">
        <w:rPr>
          <w:rtl w:val="0"/>
        </w:rPr>
        <w:t xml:space="preserve"> un nacionālais līdzfinansējums, kas pārsniedz pasākumam pieejamo Eiropas Reģionālās attīstības fonda finansējumu 73 363 734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ceturto kārtu īsteno līdz 2029. gada 31. decembrim, sasniedzot šādus iznākuma rādītājus: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investīcijas jaunās vai jauninātās katastrofu monitoringa, gatavības, brīdinājuma un reaģēšanas sistēmās attiecībā uz dabas katastrofām sasniedz 102 386 573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10 katastrofu pārvaldības centri izbūvēti, aprīkoti ar iebūvējamām iekārtām un nodoti ekspluatācijā, kā arī nodrošināta katastrofu pārvaldības centros paredzēto iestāžu izvietošana tajos.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ceturtajā kārtā paredzēts viens projekts "Katastrofu pārvaldības centru būvniecība". Projekta iesniedzējs ir Nodrošinājuma valsts aģentūra, kas pēc projekta iesnieguma apstiprināšanas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ceturtās kārtas ietvaros iesniedz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veic izmaksu un ieguvumu analīzi – finanšu analīzi un ekonomisko analīzi – un pievieno to projekta iesniegumam. Veicot izmaksu un ieguvumu analīzi, projekta iesniedzējs nodrošina, ka projekta kopējie ieguvumi un ietaupījumi ir lielāki par projekta investīciju un darbības izmaksām visā projekta pārskata periodā.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Projekta 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Atbalstāmās darbības, kas sekmē šo noteikumu 2. punktā minētā mērķa un šo noteikumu 8. punktā minēto rādītāju sasniegšanu,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10 katastrofu pārvaldības centru projektēšana, būvniecība, saistītie darbi un pakalpojumi, kā arī katastrofu pārvaldības centru aprīkošana ar iebūvējamām iekārtām, lai nodrošinātu valsts drošības stiprināšanas pasākumu īstenošanu visā Latvijas teritorijā;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vadības nodrošināšana, tostarp projektu vadītāju, grāmatvežu, finansistu, juristu, projektu speciālistu būvniecības jomā, iepirkumu speciālistu un projektu koordinatoru pakalpojumu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13. punktā minēto darbību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būvju tehnisko apsekošanu un izpēti, projekta būvuzraudzību (tai skaitā inženiertehniskās uzraudzības) un autoruzraudzību, būvniecības ieceres dokumentācijas izstrādi un būvprojekta ekspertīzi, ja to paredz normatīvie akti būvniecībā;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būvju būvniecību, būvju un ar to saistītās infrastruktūras un teritorijas labiekārtošanas, izbūves, projektēšanas, atjaunošanas un pārbūves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iebūvējamo iekārtu, ierīču, mēbeļu un aprīkojuma iegādes un uzstādīšanas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atjaunojamos energoresursus izmantojošu enerģiju ražojošu avotu iegāde un uzstādīšana, ievērojot, ka saražotā enerģija 100 % apmērā tiek izmantota pašpatēriņam;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energosertifikācijas un energoaudita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ārpakalpojuma izmaksas inženierkonsultantu piesaistei;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projekta darbībām tieši saistīto publicitātes un vizuālās identitātes pasākumu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vadības un īstenošanas personāla izmaksas,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plāno kā vienu izmaksu pozīciju, piemērojot vienoto izmaksu likmi  1 % apmērā no projektu pārējām tiešajām attiecināmajām izmaksām, bet neieskaitot tiešās attiecināmās personāla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14.1., 14.6. un 14.7 apakšpunktā minētās izmaksu pozīcijas ir attiecināmas līdz 10 %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13. punktā minētās darbības tiek veiktas, finansējuma saņēmējam izvēloties preču piegādātājus un pakalpojumu sniedzējus saskaņā ar normatīvajiem aktiem publisko iepirkumu jomā, īstenojot atklātu, pārredzamu, nediskriminējošu un konkurenci nodrošinošu procedūru.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2021/1060 64. panta 1. punkta "c" apakšpunktā ietvertajiem nosacījumiem, ja tas nav atgūstams atbilstoši normatīvajiem aktiem nodokļu politikas jomā.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ceturtās kārtas projektu īstenošanas vieta ir Latvijas Republikas teritorija.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ceturtās kārtas projektus īsteno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Izmaksas ir attiecināmas no 2024. gada 1. janvāra.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Finansējuma saņēmējs nodrošina, ka pasākuma ietvaros plānotās izmaksas nepārklājas ar citiem valsts un ārvalstu finanšu atbalsta instrumentiem, kā arī nodrošina dubultā finansējuma neiestāšanos.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Īstenojot projektu, nodrošina publicitātes un vizuālās identitātes pasākumus saskaņā ar regulas 2021/1060 47. un 50. pantu un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saņēmējs pirms ceturtās kārtas projektu iesniegumu atlases izsludināšanas izstrādā kārtību, kādā tiks nodrošināta interešu konflikta un korupcijas risku neesība, identificēti apstākļi, kuri izraisa vai var izraisīt interešu konfliktu vai krāpšanas vai korupcijas riskus, kas rada apdraudējumu vai kaitējumu projektu īstenošanai, noteikti veicamie pasākumi un izstrādāti darbības plāni interešu konflikta un krāpšanas un korupcijas risku preventīvai novēršanai un gadījumiem, kad interešu konflikts, krāpšana vai korupcija ir atklāta.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paraksta interešu konflikta neesības apliecinājumu saskaņā ar Eiropas Parlamenta un Padomes 2024. gada 23. septembra Regulas (ES, Euratom) 2024/2509 par finanšu noteikumiem, ko piemēro Savienības vispārējam budžetam (pārstrādātā redakcija) 61. pantu un normatīvajiem aktiem publisko iepirkumu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Īpašuma tiesības uz nekustamajiem īpašumiem (katastrofu pārvaldības centriem), kas tiks radīti pasākuma ceturtās kārtas ietvaros, tiks nostiprinātas zemesgrāmatā uz valsts vārda Iekšlietu ministrijas personā.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uzkrāj datus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faktiski sasniegtajiem šo noteikumu 8. punktā minētajiem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rādītāja "Objektu skaits, kuros ERAF/KF ieguldījumu rezultātā ir nodrošināta vides un informācijas pieejamība"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horizontālā principa "Klimatdrošināšana" ievērošanu, aprakstot aktivitātes, kas nodrošina klimata pārmaiņu mazināšanu, siltumnīcefekta gāzu emisiju samazināšanu vai oglekļa dioksīda piesaisti;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horizontālā principa "Energoefektivitāte pirmajā vietā" ievērošanu, aprakstot darbības, kas paredz enerģijas ietaupījumu;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horizontālā principa "Nenodarīt būtisku kaitējumu" ievērošanu, aprakstot darbības, kas nodrošina atbilstību pielāgošanās klimata pārmaiņām aspektiem.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25-TA-305</w:t>
    </w:r>
    <w:r>
      <w:br/>
    </w:r>
    <w:r w:rsidR="00000000" w:rsidRPr="00000000" w:rsidDel="00000000">
      <w:rPr>
        <w:rtl w:val="0"/>
      </w:rPr>
      <w:t xml:space="preserve">Izdrukāts 29.07.2026. 22.41 - 1.0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25-TA-305</w:t>
    </w:r>
    <w:r>
      <w:br/>
    </w:r>
    <w:r w:rsidR="00000000" w:rsidRPr="00000000" w:rsidDel="00000000">
      <w:rPr>
        <w:rtl w:val="0"/>
      </w:rPr>
      <w:t xml:space="preserve">Izdrukāts 29.07.2026. 22.41 - 1.0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noteikumu_projekts_25-TA-305.docx</dc:title>
</cp:coreProperties>
</file>

<file path=docProps/custom.xml><?xml version="1.0" encoding="utf-8"?>
<Properties xmlns="http://schemas.openxmlformats.org/officeDocument/2006/custom-properties" xmlns:vt="http://schemas.openxmlformats.org/officeDocument/2006/docPropsVTypes"/>
</file>