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jūlijā (prot. Nr. 30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29. janvāra noteikumos Nr. 61 "Noteikumi par parāda atgūšanas izdevumu pieļaujamo apmēru un izdevumiem, kuri nav atlīdzināmi"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Parādu ārpustiesas atgūšanas likuma</w:t>
      </w:r>
      <w:r w:rsidR="00000000" w:rsidRPr="00000000" w:rsidDel="00000000">
        <w:rPr>
          <w:rStyle w:val="paragraph"/>
          <w:i w:val="1"/>
          <w:rtl w:val="0"/>
        </w:rPr>
        <w:t xml:space="preserve"> 6.panta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29. janvāra noteikumos Nr. 61 "Noteikumi par parāda atgūšanas izdevumu pieļaujamo apmēru un izdevumiem, kuri nav atlīdzināmi" (Latvijas Vēstnesis, 2013, 22., 215.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par rakstiska paziņojuma sagatavošanu un nosūtīšanu parādniekam, kurā sniegta informācija par parāda esību un aicinājums labprātīgi izpildīt kavētās maksājuma saistības, un par nepieciešamajām darbībām parādnieka faktiskās kontaktinformācijas noskaidrošanai, ja parādnieks nav sasniedzams, – kopā ne vairāk kā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par citām parāda atgūšanai papildus veiktajām darbībām – kopā ne vairāk kā 15 </w:t>
      </w:r>
      <w:r w:rsidR="00000000" w:rsidRPr="00000000" w:rsidDel="00000000">
        <w:rPr>
          <w:i w:val="1"/>
          <w:rtl w:val="0"/>
        </w:rPr>
        <w:t xml:space="preserve">euro</w:t>
      </w:r>
      <w:r w:rsidR="00000000" w:rsidRPr="00000000" w:rsidDel="00000000">
        <w:rPr>
          <w:rtl w:val="0"/>
        </w:rPr>
        <w:t xml:space="preserve"> parāda atgūšanas procesā, līdz parādnieks izpildījis maksājuma saistības pret parāda atgūšanas pakalpojuma sniedzēju vai kreditoru."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23-TA-1952</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23-TA-1952</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noteikumu_(grozījumu)_projekts_23-TA-1952.docx</dc:title>
</cp:coreProperties>
</file>

<file path=docProps/custom.xml><?xml version="1.0" encoding="utf-8"?>
<Properties xmlns="http://schemas.openxmlformats.org/officeDocument/2006/custom-properties" xmlns:vt="http://schemas.openxmlformats.org/officeDocument/2006/docPropsVTypes"/>
</file>