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Nolīgumu, ar ko izveido asociāciju starp Eiropas Savienību un tās dalībvalstīm, no vienas puses, un Andoras Firstisti un Sanmarīno Republiku, katru kā atsevišķu pusi, no otras puses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2026. gada   . jūnijā Briselē parakstītais Nolīgums, ar ko izveido asociāciju starp Eiropas Savienību un tās dalībvalstīm, no vienas puses, un Andoras Firstisti un Sanmarīno Republiku, katru kā atsevišķu pusi, no otras puses (turpmāk – nolīgums),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Nolīgumā paredzēto saistību izpildi koordinē Ārlietu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Nolīgums stājas spēkā tā 112. pantā noteiktajā laikā un kārtībā, un Ārlietu ministrija par to paziņo oficiālajā izdevumā "Latvijas Vēstnesis". Līdz ar likumu izsludināms nolīgums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26-TA-939</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26-TA-939</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likumprojekts_26-TA-939.docx</dc:title>
</cp:coreProperties>
</file>

<file path=docProps/custom.xml><?xml version="1.0" encoding="utf-8"?>
<Properties xmlns="http://schemas.openxmlformats.org/officeDocument/2006/custom-properties" xmlns:vt="http://schemas.openxmlformats.org/officeDocument/2006/docPropsVTypes"/>
</file>