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31. janvārī (prot. Nr. 4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Baltinavas ielā 13,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ceturtās daļas 9. punktu un 5. panta pirmo un otro daļu atļaut valsts akciju sabiedrībai "Valsts nekustamie īpašumi" pārdot par brīvu cenu valstij piederošo nekustamo īpašumu (nekustamā īpašuma kadastra Nr. 0100 092 0595) – zemes vienību (zemes vienības kadastra apzīmējums 0100 092 0595) 0,148 ha platībā un divas būves (būvju kadastra apzīmējumi 0100 092 2273 004 un 0100 092 2273 005) – Baltinavas ielā 13, Rīgā, kas ierakstīts zemesgrāmatā uz valsts vārda Finanšu ministrijas personā, ievērojot Publiskas personas mantas atsavināšanas likuma 37. pantu un 44.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24-TA-3054</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24-TA-3054</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rīkojuma_projekts_24-TA-3054.docx</dc:title>
</cp:coreProperties>
</file>

<file path=docProps/custom.xml><?xml version="1.0" encoding="utf-8"?>
<Properties xmlns="http://schemas.openxmlformats.org/officeDocument/2006/custom-properties" xmlns:vt="http://schemas.openxmlformats.org/officeDocument/2006/docPropsVTypes"/>
</file>