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Galvenās Kriminālpolicijas pārvaldes Kriminālistikas pārvaldes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Ministru kabineta 2024. gada 28. augusta rīkojumam Nr. 710 "Par tiesu ekspertīžu institūta reformas gaitu un turpmāk veicamajiem pasākumiem" un, lai nodrošinātu tiesu ekspertīžu funkcijas efektivitāti, pamatojoties uz Valsts pārvaldes iekārtas likuma 15. panta pirmo daļu un trešās daļas 4. punktu, ar 2026. gada 1. jūliju nodot Valsts tiesu ekspertīžu birojam Valsts policijas Galvenās Kriminālpolicijas pārvaldes Kriminālistikas pārvaldes uzdevumu nodrošināt tiesu ekspertīžu veikšanu kriminālprocesa, civilprocesa, administratīvā un administratīvā pārkāpuma procesa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ar 2026. gada 1. jūliju Valsts tiesu ekspertīžu birojs ir Valsts policijas Galvenās Kriminālpolicijas pārvaldes Kriminālistikas pārvaldes ar šā rīkojuma 1. punktā minētā uzdevuma izpildi saistīto funkciju, tiesību, saistību, mantas, finanšu līdzekļu, personāla resursu, tiesu ekspertīžu metožu, lietvedības un arhīva pārņēmējs.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ar 2026. gada 1. jūliju Valsts policija nodod 99 Valsts policijas Galvenās Kriminālpolicijas pārvaldes Kriminālistikas pārvaldes amata vietas ar finansējumu Valsts tiesu ekspertīžu birojam.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ar tiesu ekspertiem un darbiniekiem, kuri ir piekrituši nodibināt darba tiesiskās attiecības ar Valsts tiesu ekspertīžu biroju, līdz 2026. gada 1. jūlijam tiek noslēgti jauni darba līgumi ar Valsts tiesu ekspertīžu biroju.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tiesu ekspertīzes, kas uzsāktas Valsts policijas Galvenās Kriminālpolicijas pārvaldes Kriminālistikas pārvaldē līdz 2026. gada 30. jūnijam kriminālprocesa, civilprocesa, administratīvā un administratīvā pārkāpuma procesa ietvaros veic tiesu eksperts, kurš nodibinājis darba tiesiskās attiecības ar Valsts tiesu ekspertīžu biroju saskaņā ar šā rīkojuma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policijas Galvenās Kriminālpolicijas pārvaldes Kriminālistikas pārvalde 2026. gada 1. jūlijā nodod Valsts tiesu ekspertīžu birojam lietvedībā esošos lēmumus un iesniegumus par tiesu ekspertīžu veikšanu un ar tiem saistītos materiālus un izpētes objektus.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ministram izveidot reorganizācijas komisiju (turpmāk - Komisija). Komisijas sastāvā iekļauj Tieslietu ministrijas, Iekšlietu ministrijas, Valsts policijas un Valsts tiesu ekspertīžu biroja pārstāvjus.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Valsts policijas Galvenās Kriminālpolicijas pārvaldes Kriminālistikas pārvaldes nododamās materiālās vērtības, finanšu līdzekļus, saistības, personāla resursus, metodes, lietvedības un arhīva lietas;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sagatavot pieņemšanas un nodošanas aktus par Valsts tiesu ekspertīžu birojam nododamo mantu, prasībām, tiesībām, saistībām, lietvedības un arhīva materiāliem šā rīkojuma 1. punktā minētās jomas uzdevumu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Tieslietu ministrijai izstrādāt un tieslietu ministram līdz 2025. gada 1. decembrim iesniegt noteiktā kārtībā izskatīšanai Ministru kabinetā grozījumus Ministru kabineta 2016. gada 20. decembra noteikumos Nr. 835 "Noteikumi par tiesu ekspertīžu iestāžu sarakstu un tiesu ekspertu specialitāšu klasifikatoru".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reorganizāciju saistītos izdevumus segt no Valsts policijas un Valsts tiesu ekspertīžu biroja darbības nodrošināšanai 2026. gadā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Noteikt, ka līdz pilnīgai personāla un laboratorijas tehnikas pārvietošanai uz Valsts tiesu ekspertīžu biroja telpām Invalīdu ielā 1, Rīgā, tiesu eksperti ekspertīžu veikšanai turpina izmantot līdzšinējās tiesu ekspertīžu funkcijas izpildes nodrošināšanai ierīkotās un Valsts policijas Galvenās Kriminālpolicijas pārvaldes Kriminālistikas pārvaldes Ekspertīžu biroja rīcībā esošās telpas.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tiesu ekspertīžu birojam noslēgt telpu nomas līgumu par Valsts policijas Galvenās Kriminālpolicijas pārvaldes Kriminālistikas pārvaldes Ekspertīžu biroja un Reģionu biroja līdz šim izmantotajām telpām, kas iekārtotas tiesu ekspertīžu funkcijas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Iekšlietu ministrijas Informācijas centram nodrošināt piekļuves tiesības Valsts tiesu ekspertīžu birojam šādām informācijas sistēmām un datubāzēm: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Ekspertīžu laboratorijas informācijas sistēmai (ELIS);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Biometrijas datu apstrādes sistēmai (BDAS);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DNS nacionālā datubāzei (CODIS);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Ložu un čaulu automatizētai identifikācijas sistēmai (ALCIS);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Automātiskai ballistiskās identifikācijas sistēmai (BalScan);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Dokumentu informācijas sistēmai (DOKIS);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DNS paraugu reģistrācijas un profilu pārbaudes informācijas sistēmai (PIPARS2).</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25-TA-404</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25-TA-404</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rīkojuma_projekts_25-TA-404.docx</dc:title>
</cp:coreProperties>
</file>

<file path=docProps/custom.xml><?xml version="1.0" encoding="utf-8"?>
<Properties xmlns="http://schemas.openxmlformats.org/officeDocument/2006/custom-properties" xmlns:vt="http://schemas.openxmlformats.org/officeDocument/2006/docPropsVTypes"/>
</file>