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73.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2024. gadā Satiksmes ministrijas budžeta programmas 97.00.00 "Nozaru vadība un politikas plānošana" ietvaros 81 431 </w:t>
      </w:r>
      <w:r w:rsidR="00000000" w:rsidRPr="00000000" w:rsidDel="00000000">
        <w:rPr>
          <w:i w:val="1"/>
          <w:rtl w:val="0"/>
        </w:rPr>
        <w:t xml:space="preserve">euro</w:t>
      </w:r>
      <w:r w:rsidR="00000000" w:rsidRPr="00000000" w:rsidDel="00000000">
        <w:rPr>
          <w:rtl w:val="0"/>
        </w:rPr>
        <w:t xml:space="preserve"> apmērā no prioritārajam pasākumam "Satiksmes nozares pārvaldības un finansēšanas modeļa reforma" paredzētā finansējuma, lai nodrošinātu brīvprātīgas iemaksas veikšanu Eiropas Aeronavigācijas drošības organizācijas pārvaldītajā Gaisa satiksmes vadības solidaritātes fondā Ukrainas aeronavigācijas pakalpojumu 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24-TA-3104</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24-TA-3104</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rīkojuma_projekts_24-TA-3104.docx</dc:title>
</cp:coreProperties>
</file>

<file path=docProps/custom.xml><?xml version="1.0" encoding="utf-8"?>
<Properties xmlns="http://schemas.openxmlformats.org/officeDocument/2006/custom-properties" xmlns:vt="http://schemas.openxmlformats.org/officeDocument/2006/docPropsVTypes"/>
</file>